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6021" w:rsidR="008F707E" w:rsidP="008F707E" w:rsidRDefault="008F707E" w14:paraId="49EB348A" w14:textId="224854F1">
      <w:pPr>
        <w:suppressAutoHyphens w:val="0"/>
        <w:autoSpaceDN/>
        <w:rPr>
          <w:rFonts w:ascii="Arial" w:hAnsi="Arial" w:eastAsia="Times New Roman" w:cs="Arial"/>
          <w:b/>
          <w:bCs/>
        </w:rPr>
      </w:pPr>
      <w:r w:rsidRPr="00376021">
        <w:rPr>
          <w:rFonts w:ascii="Arial" w:hAnsi="Arial" w:eastAsia="Times New Roman" w:cs="Arial"/>
          <w:b/>
          <w:bCs/>
        </w:rPr>
        <w:t>Thematic Reports: PREVENT: A4: Improving Our Approach to Reducing Reoffending</w:t>
      </w:r>
    </w:p>
    <w:p w:rsidRPr="00376021" w:rsidR="008F707E" w:rsidP="008F707E" w:rsidRDefault="008F707E" w14:paraId="5F4B6DFE" w14:textId="77777777">
      <w:pPr>
        <w:suppressAutoHyphens w:val="0"/>
        <w:autoSpaceDN/>
        <w:rPr>
          <w:rFonts w:ascii="Arial" w:hAnsi="Arial" w:eastAsia="Times New Roman" w:cs="Arial"/>
        </w:rPr>
      </w:pPr>
    </w:p>
    <w:p w:rsidRPr="00376021" w:rsidR="00304CAC" w:rsidRDefault="00304CAC" w14:paraId="4303523C" w14:textId="77777777">
      <w:pPr>
        <w:rPr>
          <w:rFonts w:ascii="Arial" w:hAnsi="Arial" w:cs="Arial"/>
        </w:rPr>
      </w:pPr>
    </w:p>
    <w:tbl>
      <w:tblPr>
        <w:tblW w:w="9209" w:type="dxa"/>
        <w:tblCellMar>
          <w:left w:w="10" w:type="dxa"/>
          <w:right w:w="10" w:type="dxa"/>
        </w:tblCellMar>
        <w:tblLook w:val="0000" w:firstRow="0" w:lastRow="0" w:firstColumn="0" w:lastColumn="0" w:noHBand="0" w:noVBand="0"/>
      </w:tblPr>
      <w:tblGrid>
        <w:gridCol w:w="9209"/>
      </w:tblGrid>
      <w:tr w:rsidRPr="00376021" w:rsidR="00781671" w:rsidTr="00781671" w14:paraId="38DF2DD0" w14:textId="77777777">
        <w:tc>
          <w:tcPr>
            <w:tcW w:w="9209" w:type="dxa"/>
            <w:tcBorders>
              <w:top w:val="single" w:color="000000" w:sz="4" w:space="0"/>
              <w:left w:val="single" w:color="000000" w:sz="4" w:space="0"/>
              <w:bottom w:val="single" w:color="000000" w:sz="4" w:space="0"/>
              <w:right w:val="single" w:color="000000" w:sz="4" w:space="0"/>
            </w:tcBorders>
            <w:shd w:val="clear" w:color="auto" w:fill="EAF1DD"/>
          </w:tcPr>
          <w:p w:rsidRPr="00376021" w:rsidR="00781671" w:rsidP="00781671" w:rsidRDefault="00781671" w14:paraId="18041CAF" w14:textId="77777777">
            <w:pPr>
              <w:rPr>
                <w:rFonts w:ascii="Arial" w:hAnsi="Arial" w:eastAsia="Times New Roman" w:cs="Arial"/>
                <w:b/>
                <w:bCs/>
              </w:rPr>
            </w:pPr>
            <w:r w:rsidRPr="00376021">
              <w:rPr>
                <w:rFonts w:ascii="Arial" w:hAnsi="Arial" w:eastAsia="Times New Roman" w:cs="Arial"/>
                <w:b/>
                <w:bCs/>
              </w:rPr>
              <w:t>Diversion and use of conditional cautions</w:t>
            </w:r>
          </w:p>
          <w:p w:rsidRPr="00376021" w:rsidR="00781671" w:rsidP="00781671" w:rsidRDefault="00781671" w14:paraId="6A60478E" w14:textId="77777777">
            <w:pPr>
              <w:rPr>
                <w:rFonts w:ascii="Arial" w:hAnsi="Arial" w:cs="Arial"/>
                <w:b/>
                <w:bCs/>
              </w:rPr>
            </w:pPr>
          </w:p>
        </w:tc>
      </w:tr>
      <w:tr w:rsidRPr="00376021" w:rsidR="00781671" w:rsidTr="00781671" w14:paraId="1D3692A8" w14:textId="77777777">
        <w:trPr>
          <w:trHeight w:val="2825"/>
        </w:trPr>
        <w:tc>
          <w:tcPr>
            <w:tcW w:w="9209" w:type="dxa"/>
            <w:tcBorders>
              <w:top w:val="single" w:color="000000" w:sz="4" w:space="0"/>
              <w:left w:val="single" w:color="000000" w:sz="4" w:space="0"/>
              <w:bottom w:val="single" w:color="000000" w:sz="4" w:space="0"/>
              <w:right w:val="single" w:color="000000" w:sz="4" w:space="0"/>
            </w:tcBorders>
          </w:tcPr>
          <w:p w:rsidRPr="00376021" w:rsidR="00781671" w:rsidP="00781671" w:rsidRDefault="00781671" w14:paraId="70CD19CC" w14:textId="77777777">
            <w:pPr>
              <w:jc w:val="both"/>
              <w:rPr>
                <w:rFonts w:ascii="Arial" w:hAnsi="Arial" w:cs="Arial"/>
              </w:rPr>
            </w:pPr>
          </w:p>
          <w:p w:rsidRPr="00376021" w:rsidR="00781671" w:rsidP="00CD4C74" w:rsidRDefault="00781671" w14:paraId="0763981B" w14:textId="77777777">
            <w:pPr>
              <w:pStyle w:val="NoSpacing"/>
              <w:jc w:val="both"/>
              <w:rPr>
                <w:rFonts w:ascii="Arial" w:hAnsi="Arial" w:cs="Arial"/>
              </w:rPr>
            </w:pPr>
            <w:r w:rsidRPr="00376021">
              <w:rPr>
                <w:rFonts w:ascii="Arial" w:hAnsi="Arial" w:cs="Arial"/>
                <w:b/>
                <w:bCs/>
              </w:rPr>
              <w:t>Conditional Cautions</w:t>
            </w:r>
            <w:r w:rsidRPr="00376021">
              <w:rPr>
                <w:rFonts w:ascii="Arial" w:hAnsi="Arial" w:cs="Arial"/>
              </w:rPr>
              <w:t xml:space="preserve"> will be renamed as a ‘Diversionary Caution’ under the new legislation due to commence on 1</w:t>
            </w:r>
            <w:r w:rsidRPr="00376021">
              <w:rPr>
                <w:rFonts w:ascii="Arial" w:hAnsi="Arial" w:cs="Arial"/>
                <w:vertAlign w:val="superscript"/>
              </w:rPr>
              <w:t>st</w:t>
            </w:r>
            <w:r w:rsidRPr="00376021">
              <w:rPr>
                <w:rFonts w:ascii="Arial" w:hAnsi="Arial" w:cs="Arial"/>
              </w:rPr>
              <w:t xml:space="preserve"> April 2023. The term ‘diversionary’ refers to pre-court diversion.</w:t>
            </w:r>
          </w:p>
          <w:p w:rsidRPr="00376021" w:rsidR="00781671" w:rsidP="00CD4C74" w:rsidRDefault="00781671" w14:paraId="12CEF3FE" w14:textId="77777777">
            <w:pPr>
              <w:pStyle w:val="NoSpacing"/>
              <w:jc w:val="both"/>
              <w:rPr>
                <w:rFonts w:ascii="Arial" w:hAnsi="Arial" w:cs="Arial"/>
              </w:rPr>
            </w:pPr>
          </w:p>
          <w:p w:rsidRPr="00376021" w:rsidR="00781671" w:rsidP="00CD4C74" w:rsidRDefault="00781671" w14:paraId="287302E2" w14:textId="6617003B">
            <w:pPr>
              <w:pStyle w:val="NoSpacing"/>
              <w:jc w:val="both"/>
              <w:rPr>
                <w:rFonts w:ascii="Arial" w:hAnsi="Arial" w:cs="Arial"/>
              </w:rPr>
            </w:pPr>
            <w:r w:rsidRPr="00376021">
              <w:rPr>
                <w:rFonts w:ascii="Arial" w:hAnsi="Arial" w:cs="Arial"/>
              </w:rPr>
              <w:t xml:space="preserve">The Conditional caution is a statutory disposal which enables police to set enforceable conditions to be met within a specified </w:t>
            </w:r>
            <w:proofErr w:type="gramStart"/>
            <w:r w:rsidRPr="00376021">
              <w:rPr>
                <w:rFonts w:ascii="Arial" w:hAnsi="Arial" w:cs="Arial"/>
              </w:rPr>
              <w:t>period of time</w:t>
            </w:r>
            <w:proofErr w:type="gramEnd"/>
            <w:r w:rsidRPr="00376021">
              <w:rPr>
                <w:rFonts w:ascii="Arial" w:hAnsi="Arial" w:cs="Arial"/>
              </w:rPr>
              <w:t xml:space="preserve">. The offender is required to make a </w:t>
            </w:r>
            <w:r w:rsidRPr="00376021">
              <w:rPr>
                <w:rFonts w:ascii="Arial" w:hAnsi="Arial" w:cs="Arial"/>
                <w:b/>
                <w:bCs/>
              </w:rPr>
              <w:t xml:space="preserve">full </w:t>
            </w:r>
            <w:r w:rsidR="00CD4C74">
              <w:rPr>
                <w:rFonts w:ascii="Arial" w:hAnsi="Arial" w:cs="Arial"/>
                <w:b/>
                <w:bCs/>
              </w:rPr>
              <w:t xml:space="preserve">              </w:t>
            </w:r>
            <w:r w:rsidRPr="00376021" w:rsidR="00CD4C74">
              <w:rPr>
                <w:rFonts w:ascii="Arial" w:hAnsi="Arial" w:cs="Arial"/>
                <w:b/>
                <w:bCs/>
              </w:rPr>
              <w:t>admi</w:t>
            </w:r>
            <w:r w:rsidR="00CD4C74">
              <w:rPr>
                <w:rFonts w:ascii="Arial" w:hAnsi="Arial" w:cs="Arial"/>
                <w:b/>
                <w:bCs/>
              </w:rPr>
              <w:t>ss</w:t>
            </w:r>
            <w:r w:rsidRPr="00376021" w:rsidR="00CD4C74">
              <w:rPr>
                <w:rFonts w:ascii="Arial" w:hAnsi="Arial" w:cs="Arial"/>
                <w:b/>
                <w:bCs/>
              </w:rPr>
              <w:t>ion</w:t>
            </w:r>
            <w:r w:rsidRPr="00376021">
              <w:rPr>
                <w:rFonts w:ascii="Arial" w:hAnsi="Arial" w:cs="Arial"/>
              </w:rPr>
              <w:t xml:space="preserve"> to the offence and accept the caution. Conditions attached to a Caution are either, Reh</w:t>
            </w:r>
            <w:r w:rsidR="00CD4C74">
              <w:rPr>
                <w:rFonts w:ascii="Arial" w:hAnsi="Arial" w:cs="Arial"/>
              </w:rPr>
              <w:t>a</w:t>
            </w:r>
            <w:r w:rsidRPr="00376021">
              <w:rPr>
                <w:rFonts w:ascii="Arial" w:hAnsi="Arial" w:cs="Arial"/>
              </w:rPr>
              <w:t>bilitative, Reparative and/or Financial (to be paid within 28 days). Breach of a Conditional Caution may result in prosecution for the original offence. Power of Arrest may be used for failure to comply.</w:t>
            </w:r>
          </w:p>
          <w:p w:rsidRPr="00376021" w:rsidR="00781671" w:rsidP="00CD4C74" w:rsidRDefault="00781671" w14:paraId="5F426700" w14:textId="77777777">
            <w:pPr>
              <w:pStyle w:val="NoSpacing"/>
              <w:jc w:val="both"/>
              <w:rPr>
                <w:rFonts w:ascii="Arial" w:hAnsi="Arial" w:cs="Arial"/>
              </w:rPr>
            </w:pPr>
          </w:p>
          <w:p w:rsidRPr="00376021" w:rsidR="00781671" w:rsidP="00CD4C74" w:rsidRDefault="00781671" w14:paraId="11764F1B" w14:textId="77777777">
            <w:pPr>
              <w:pStyle w:val="NoSpacing"/>
              <w:jc w:val="both"/>
              <w:rPr>
                <w:rFonts w:ascii="Arial" w:hAnsi="Arial" w:cs="Arial"/>
              </w:rPr>
            </w:pPr>
            <w:r w:rsidRPr="00376021">
              <w:rPr>
                <w:rFonts w:ascii="Arial" w:hAnsi="Arial" w:cs="Arial"/>
              </w:rPr>
              <w:t>A variety of conditions can be made out therefore, the offender could receive a condition with conditions to attend a victim awareness course as well as paying compensation to the victim.</w:t>
            </w:r>
          </w:p>
          <w:p w:rsidRPr="00376021" w:rsidR="00781671" w:rsidP="00CD4C74" w:rsidRDefault="00781671" w14:paraId="02C58C10" w14:textId="77777777">
            <w:pPr>
              <w:pStyle w:val="NoSpacing"/>
              <w:jc w:val="both"/>
              <w:rPr>
                <w:rFonts w:ascii="Arial" w:hAnsi="Arial" w:cs="Arial"/>
              </w:rPr>
            </w:pPr>
          </w:p>
          <w:p w:rsidRPr="00376021" w:rsidR="00781671" w:rsidP="00CD4C74" w:rsidRDefault="00781671" w14:paraId="6F9AFFB3" w14:textId="676F2444">
            <w:pPr>
              <w:pStyle w:val="NoSpacing"/>
              <w:jc w:val="both"/>
              <w:rPr>
                <w:rFonts w:ascii="Arial" w:hAnsi="Arial" w:cs="Arial"/>
              </w:rPr>
            </w:pPr>
            <w:r w:rsidRPr="00376021">
              <w:rPr>
                <w:rFonts w:ascii="Arial" w:hAnsi="Arial" w:cs="Arial"/>
              </w:rPr>
              <w:t xml:space="preserve">The table below demonstrates that as a Force we have made positive steps towards the </w:t>
            </w:r>
            <w:r w:rsidR="00CD4C74">
              <w:rPr>
                <w:rFonts w:ascii="Arial" w:hAnsi="Arial" w:cs="Arial"/>
              </w:rPr>
              <w:t xml:space="preserve">           </w:t>
            </w:r>
            <w:r w:rsidRPr="00376021">
              <w:rPr>
                <w:rFonts w:ascii="Arial" w:hAnsi="Arial" w:cs="Arial"/>
              </w:rPr>
              <w:t xml:space="preserve">behavioural / cultural changes required for the new framework, decreasing our use of simple caution and increasing the use of conditional caution. </w:t>
            </w:r>
          </w:p>
          <w:p w:rsidRPr="00376021" w:rsidR="00781671" w:rsidP="00781671" w:rsidRDefault="00781671" w14:paraId="28507795" w14:textId="77777777">
            <w:pPr>
              <w:pStyle w:val="NoSpacing"/>
              <w:jc w:val="both"/>
              <w:rPr>
                <w:rFonts w:ascii="Arial" w:hAnsi="Arial" w:cs="Arial"/>
              </w:rPr>
            </w:pPr>
          </w:p>
          <w:p w:rsidRPr="00376021" w:rsidR="00781671" w:rsidP="00781671" w:rsidRDefault="00781671" w14:paraId="32085BC8" w14:textId="77777777">
            <w:pPr>
              <w:jc w:val="both"/>
              <w:rPr>
                <w:rFonts w:ascii="Arial" w:hAnsi="Arial" w:eastAsia="Times New Roman" w:cs="Arial"/>
                <w:b/>
                <w:bCs/>
                <w:color w:val="FFFFFF"/>
                <w:lang w:eastAsia="en-GB"/>
              </w:rPr>
            </w:pPr>
          </w:p>
          <w:tbl>
            <w:tblPr>
              <w:tblW w:w="8500" w:type="dxa"/>
              <w:tblCellMar>
                <w:left w:w="10" w:type="dxa"/>
                <w:right w:w="10" w:type="dxa"/>
              </w:tblCellMar>
              <w:tblLook w:val="04A0" w:firstRow="1" w:lastRow="0" w:firstColumn="1" w:lastColumn="0" w:noHBand="0" w:noVBand="1"/>
            </w:tblPr>
            <w:tblGrid>
              <w:gridCol w:w="2740"/>
              <w:gridCol w:w="1440"/>
              <w:gridCol w:w="1440"/>
              <w:gridCol w:w="1440"/>
              <w:gridCol w:w="1440"/>
            </w:tblGrid>
            <w:tr w:rsidRPr="00376021" w:rsidR="00781671" w:rsidTr="00CD6595" w14:paraId="6E82AD47" w14:textId="77777777">
              <w:trPr>
                <w:trHeight w:val="605"/>
              </w:trPr>
              <w:tc>
                <w:tcPr>
                  <w:tcW w:w="2740" w:type="dxa"/>
                  <w:shd w:val="clear" w:color="auto" w:fill="FFFFFF"/>
                  <w:noWrap/>
                  <w:tcMar>
                    <w:top w:w="0" w:type="dxa"/>
                    <w:left w:w="108" w:type="dxa"/>
                    <w:bottom w:w="0" w:type="dxa"/>
                    <w:right w:w="108" w:type="dxa"/>
                  </w:tcMar>
                  <w:vAlign w:val="bottom"/>
                </w:tcPr>
                <w:p w:rsidRPr="00376021" w:rsidR="00781671" w:rsidP="00781671" w:rsidRDefault="00781671" w14:paraId="05B5DA88" w14:textId="77777777">
                  <w:pPr>
                    <w:rPr>
                      <w:rFonts w:ascii="Arial" w:hAnsi="Arial" w:eastAsia="Times New Roman" w:cs="Arial"/>
                      <w:color w:val="333333"/>
                      <w:lang w:eastAsia="en-GB"/>
                    </w:rPr>
                  </w:pPr>
                  <w:r w:rsidRPr="00376021">
                    <w:rPr>
                      <w:rFonts w:ascii="Arial" w:hAnsi="Arial" w:eastAsia="Times New Roman" w:cs="Arial"/>
                      <w:color w:val="333333"/>
                      <w:lang w:eastAsia="en-GB"/>
                    </w:rPr>
                    <w:t> </w:t>
                  </w:r>
                </w:p>
              </w:tc>
              <w:tc>
                <w:tcPr>
                  <w:tcW w:w="1440" w:type="dxa"/>
                  <w:tcBorders>
                    <w:top w:val="single" w:color="999999" w:sz="4" w:space="0"/>
                    <w:left w:val="single" w:color="999999" w:sz="4" w:space="0"/>
                    <w:bottom w:val="single" w:color="999999" w:sz="4" w:space="0"/>
                    <w:right w:val="single" w:color="999999" w:sz="4" w:space="0"/>
                  </w:tcBorders>
                  <w:shd w:val="clear" w:color="auto" w:fill="00103C"/>
                  <w:tcMar>
                    <w:top w:w="0" w:type="dxa"/>
                    <w:left w:w="108" w:type="dxa"/>
                    <w:bottom w:w="0" w:type="dxa"/>
                    <w:right w:w="108" w:type="dxa"/>
                  </w:tcMar>
                  <w:vAlign w:val="center"/>
                </w:tcPr>
                <w:p w:rsidRPr="00376021" w:rsidR="00781671" w:rsidP="00781671" w:rsidRDefault="00781671" w14:paraId="2C8D42D6" w14:textId="77777777">
                  <w:pPr>
                    <w:jc w:val="center"/>
                    <w:rPr>
                      <w:rFonts w:ascii="Arial" w:hAnsi="Arial" w:eastAsia="Times New Roman" w:cs="Arial"/>
                      <w:b/>
                      <w:bCs/>
                      <w:color w:val="FFFFFF"/>
                      <w:lang w:eastAsia="en-GB"/>
                    </w:rPr>
                  </w:pPr>
                  <w:r w:rsidRPr="00376021">
                    <w:rPr>
                      <w:rFonts w:ascii="Arial" w:hAnsi="Arial" w:eastAsia="Times New Roman" w:cs="Arial"/>
                      <w:b/>
                      <w:bCs/>
                      <w:color w:val="FFFFFF"/>
                      <w:lang w:eastAsia="en-GB"/>
                    </w:rPr>
                    <w:t>01/08/2020 to 31/07/2021</w:t>
                  </w:r>
                </w:p>
              </w:tc>
              <w:tc>
                <w:tcPr>
                  <w:tcW w:w="1440" w:type="dxa"/>
                  <w:tcBorders>
                    <w:top w:val="single" w:color="999999" w:sz="4" w:space="0"/>
                    <w:bottom w:val="single" w:color="999999" w:sz="4" w:space="0"/>
                    <w:right w:val="single" w:color="999999" w:sz="4" w:space="0"/>
                  </w:tcBorders>
                  <w:shd w:val="clear" w:color="auto" w:fill="00103C"/>
                  <w:tcMar>
                    <w:top w:w="0" w:type="dxa"/>
                    <w:left w:w="108" w:type="dxa"/>
                    <w:bottom w:w="0" w:type="dxa"/>
                    <w:right w:w="108" w:type="dxa"/>
                  </w:tcMar>
                  <w:vAlign w:val="center"/>
                </w:tcPr>
                <w:p w:rsidRPr="00376021" w:rsidR="00781671" w:rsidP="00781671" w:rsidRDefault="00781671" w14:paraId="4249E4C2" w14:textId="77777777">
                  <w:pPr>
                    <w:jc w:val="center"/>
                    <w:rPr>
                      <w:rFonts w:ascii="Arial" w:hAnsi="Arial" w:eastAsia="Times New Roman" w:cs="Arial"/>
                      <w:b/>
                      <w:bCs/>
                      <w:color w:val="FFFFFF"/>
                      <w:lang w:eastAsia="en-GB"/>
                    </w:rPr>
                  </w:pPr>
                  <w:r w:rsidRPr="00376021">
                    <w:rPr>
                      <w:rFonts w:ascii="Arial" w:hAnsi="Arial" w:eastAsia="Times New Roman" w:cs="Arial"/>
                      <w:b/>
                      <w:bCs/>
                      <w:color w:val="FFFFFF"/>
                      <w:lang w:eastAsia="en-GB"/>
                    </w:rPr>
                    <w:t>01/08/2021 to 31/07/2022</w:t>
                  </w:r>
                </w:p>
              </w:tc>
              <w:tc>
                <w:tcPr>
                  <w:tcW w:w="1440" w:type="dxa"/>
                  <w:tcBorders>
                    <w:top w:val="single" w:color="999999" w:sz="4" w:space="0"/>
                    <w:bottom w:val="single" w:color="999999" w:sz="4" w:space="0"/>
                    <w:right w:val="single" w:color="999999" w:sz="4" w:space="0"/>
                  </w:tcBorders>
                  <w:shd w:val="clear" w:color="auto" w:fill="00103C"/>
                  <w:tcMar>
                    <w:top w:w="0" w:type="dxa"/>
                    <w:left w:w="108" w:type="dxa"/>
                    <w:bottom w:w="0" w:type="dxa"/>
                    <w:right w:w="108" w:type="dxa"/>
                  </w:tcMar>
                  <w:vAlign w:val="center"/>
                </w:tcPr>
                <w:p w:rsidRPr="00376021" w:rsidR="00781671" w:rsidP="00781671" w:rsidRDefault="00781671" w14:paraId="27D9B83A" w14:textId="77777777">
                  <w:pPr>
                    <w:jc w:val="center"/>
                    <w:rPr>
                      <w:rFonts w:ascii="Arial" w:hAnsi="Arial" w:eastAsia="Times New Roman" w:cs="Arial"/>
                      <w:b/>
                      <w:bCs/>
                      <w:color w:val="FFFFFF"/>
                      <w:lang w:eastAsia="en-GB"/>
                    </w:rPr>
                  </w:pPr>
                  <w:r w:rsidRPr="00376021">
                    <w:rPr>
                      <w:rFonts w:ascii="Arial" w:hAnsi="Arial" w:eastAsia="Times New Roman" w:cs="Arial"/>
                      <w:b/>
                      <w:bCs/>
                      <w:color w:val="FFFFFF"/>
                      <w:lang w:eastAsia="en-GB"/>
                    </w:rPr>
                    <w:t>Change</w:t>
                  </w:r>
                </w:p>
              </w:tc>
              <w:tc>
                <w:tcPr>
                  <w:tcW w:w="1440" w:type="dxa"/>
                  <w:tcBorders>
                    <w:top w:val="single" w:color="999999" w:sz="4" w:space="0"/>
                    <w:bottom w:val="single" w:color="999999" w:sz="4" w:space="0"/>
                    <w:right w:val="single" w:color="999999" w:sz="4" w:space="0"/>
                  </w:tcBorders>
                  <w:shd w:val="clear" w:color="auto" w:fill="00103C"/>
                  <w:tcMar>
                    <w:top w:w="0" w:type="dxa"/>
                    <w:left w:w="108" w:type="dxa"/>
                    <w:bottom w:w="0" w:type="dxa"/>
                    <w:right w:w="108" w:type="dxa"/>
                  </w:tcMar>
                  <w:vAlign w:val="center"/>
                </w:tcPr>
                <w:p w:rsidRPr="00376021" w:rsidR="00781671" w:rsidP="00781671" w:rsidRDefault="00781671" w14:paraId="667D4310" w14:textId="77777777">
                  <w:pPr>
                    <w:jc w:val="center"/>
                    <w:rPr>
                      <w:rFonts w:ascii="Arial" w:hAnsi="Arial" w:eastAsia="Times New Roman" w:cs="Arial"/>
                      <w:b/>
                      <w:bCs/>
                      <w:color w:val="FFFFFF"/>
                      <w:lang w:eastAsia="en-GB"/>
                    </w:rPr>
                  </w:pPr>
                  <w:r w:rsidRPr="00376021">
                    <w:rPr>
                      <w:rFonts w:ascii="Arial" w:hAnsi="Arial" w:eastAsia="Times New Roman" w:cs="Arial"/>
                      <w:b/>
                      <w:bCs/>
                      <w:color w:val="FFFFFF"/>
                      <w:lang w:eastAsia="en-GB"/>
                    </w:rPr>
                    <w:t>Percentage Change</w:t>
                  </w:r>
                </w:p>
              </w:tc>
            </w:tr>
            <w:tr w:rsidRPr="00376021" w:rsidR="00781671" w:rsidTr="00CD6595" w14:paraId="1C391D34" w14:textId="77777777">
              <w:trPr>
                <w:trHeight w:val="263"/>
              </w:trPr>
              <w:tc>
                <w:tcPr>
                  <w:tcW w:w="2740" w:type="dxa"/>
                  <w:tcBorders>
                    <w:top w:val="single" w:color="999999" w:sz="4" w:space="0"/>
                    <w:left w:val="single" w:color="999999" w:sz="4" w:space="0"/>
                    <w:bottom w:val="single" w:color="999999" w:sz="4" w:space="0"/>
                    <w:right w:val="single" w:color="999999" w:sz="4" w:space="0"/>
                  </w:tcBorders>
                  <w:shd w:val="clear" w:color="auto" w:fill="00103C"/>
                  <w:noWrap/>
                  <w:tcMar>
                    <w:top w:w="0" w:type="dxa"/>
                    <w:left w:w="108" w:type="dxa"/>
                    <w:bottom w:w="0" w:type="dxa"/>
                    <w:right w:w="108" w:type="dxa"/>
                  </w:tcMar>
                  <w:vAlign w:val="bottom"/>
                </w:tcPr>
                <w:p w:rsidRPr="00376021" w:rsidR="00781671" w:rsidP="00781671" w:rsidRDefault="00781671" w14:paraId="263E6F49" w14:textId="77777777">
                  <w:pPr>
                    <w:rPr>
                      <w:rFonts w:ascii="Arial" w:hAnsi="Arial" w:eastAsia="Times New Roman" w:cs="Arial"/>
                      <w:b/>
                      <w:bCs/>
                      <w:color w:val="FFFFFF"/>
                      <w:lang w:eastAsia="en-GB"/>
                    </w:rPr>
                  </w:pPr>
                  <w:r w:rsidRPr="00376021">
                    <w:rPr>
                      <w:rFonts w:ascii="Arial" w:hAnsi="Arial" w:eastAsia="Times New Roman" w:cs="Arial"/>
                      <w:b/>
                      <w:bCs/>
                      <w:color w:val="FFFFFF"/>
                      <w:lang w:eastAsia="en-GB"/>
                    </w:rPr>
                    <w:t>Adult Caution</w:t>
                  </w:r>
                </w:p>
              </w:tc>
              <w:tc>
                <w:tcPr>
                  <w:tcW w:w="1440" w:type="dxa"/>
                  <w:tcBorders>
                    <w:bottom w:val="single" w:color="999999" w:sz="4" w:space="0"/>
                    <w:right w:val="single" w:color="999999" w:sz="4" w:space="0"/>
                  </w:tcBorders>
                  <w:shd w:val="clear" w:color="auto" w:fill="FFFFFF"/>
                  <w:noWrap/>
                  <w:tcMar>
                    <w:top w:w="0" w:type="dxa"/>
                    <w:left w:w="108" w:type="dxa"/>
                    <w:bottom w:w="0" w:type="dxa"/>
                    <w:right w:w="108" w:type="dxa"/>
                  </w:tcMar>
                  <w:vAlign w:val="center"/>
                </w:tcPr>
                <w:p w:rsidRPr="00376021" w:rsidR="00781671" w:rsidP="00781671" w:rsidRDefault="00781671" w14:paraId="44400BFA" w14:textId="77777777">
                  <w:pPr>
                    <w:jc w:val="center"/>
                    <w:rPr>
                      <w:rFonts w:ascii="Arial" w:hAnsi="Arial" w:eastAsia="Times New Roman" w:cs="Arial"/>
                      <w:color w:val="333333"/>
                      <w:lang w:eastAsia="en-GB"/>
                    </w:rPr>
                  </w:pPr>
                  <w:r w:rsidRPr="00376021">
                    <w:rPr>
                      <w:rFonts w:ascii="Arial" w:hAnsi="Arial" w:eastAsia="Times New Roman" w:cs="Arial"/>
                      <w:color w:val="333333"/>
                      <w:lang w:eastAsia="en-GB"/>
                    </w:rPr>
                    <w:t>1296</w:t>
                  </w:r>
                </w:p>
              </w:tc>
              <w:tc>
                <w:tcPr>
                  <w:tcW w:w="1440" w:type="dxa"/>
                  <w:tcBorders>
                    <w:bottom w:val="single" w:color="999999" w:sz="4" w:space="0"/>
                    <w:right w:val="single" w:color="999999" w:sz="4" w:space="0"/>
                  </w:tcBorders>
                  <w:shd w:val="clear" w:color="auto" w:fill="FFFFFF"/>
                  <w:noWrap/>
                  <w:tcMar>
                    <w:top w:w="0" w:type="dxa"/>
                    <w:left w:w="108" w:type="dxa"/>
                    <w:bottom w:w="0" w:type="dxa"/>
                    <w:right w:w="108" w:type="dxa"/>
                  </w:tcMar>
                  <w:vAlign w:val="center"/>
                </w:tcPr>
                <w:p w:rsidRPr="00376021" w:rsidR="00781671" w:rsidP="00781671" w:rsidRDefault="00781671" w14:paraId="68184218" w14:textId="77777777">
                  <w:pPr>
                    <w:jc w:val="center"/>
                    <w:rPr>
                      <w:rFonts w:ascii="Arial" w:hAnsi="Arial" w:eastAsia="Times New Roman" w:cs="Arial"/>
                      <w:color w:val="333333"/>
                      <w:lang w:eastAsia="en-GB"/>
                    </w:rPr>
                  </w:pPr>
                  <w:r w:rsidRPr="00376021">
                    <w:rPr>
                      <w:rFonts w:ascii="Arial" w:hAnsi="Arial" w:eastAsia="Times New Roman" w:cs="Arial"/>
                      <w:color w:val="333333"/>
                      <w:lang w:eastAsia="en-GB"/>
                    </w:rPr>
                    <w:t>1082</w:t>
                  </w:r>
                </w:p>
              </w:tc>
              <w:tc>
                <w:tcPr>
                  <w:tcW w:w="1440" w:type="dxa"/>
                  <w:tcBorders>
                    <w:bottom w:val="single" w:color="999999" w:sz="4" w:space="0"/>
                    <w:right w:val="single" w:color="999999" w:sz="4" w:space="0"/>
                  </w:tcBorders>
                  <w:shd w:val="clear" w:color="auto" w:fill="FFFFFF"/>
                  <w:noWrap/>
                  <w:tcMar>
                    <w:top w:w="0" w:type="dxa"/>
                    <w:left w:w="108" w:type="dxa"/>
                    <w:bottom w:w="0" w:type="dxa"/>
                    <w:right w:w="108" w:type="dxa"/>
                  </w:tcMar>
                  <w:vAlign w:val="center"/>
                </w:tcPr>
                <w:p w:rsidRPr="00376021" w:rsidR="00781671" w:rsidP="00781671" w:rsidRDefault="00781671" w14:paraId="05AC8F7A" w14:textId="77777777">
                  <w:pPr>
                    <w:jc w:val="center"/>
                    <w:rPr>
                      <w:rFonts w:ascii="Arial" w:hAnsi="Arial" w:eastAsia="Times New Roman" w:cs="Arial"/>
                      <w:color w:val="333333"/>
                      <w:lang w:eastAsia="en-GB"/>
                    </w:rPr>
                  </w:pPr>
                  <w:r w:rsidRPr="00376021">
                    <w:rPr>
                      <w:rFonts w:ascii="Arial" w:hAnsi="Arial" w:eastAsia="Times New Roman" w:cs="Arial"/>
                      <w:color w:val="333333"/>
                      <w:lang w:eastAsia="en-GB"/>
                    </w:rPr>
                    <w:t>-214</w:t>
                  </w:r>
                </w:p>
              </w:tc>
              <w:tc>
                <w:tcPr>
                  <w:tcW w:w="1440" w:type="dxa"/>
                  <w:tcBorders>
                    <w:bottom w:val="single" w:color="999999" w:sz="4" w:space="0"/>
                    <w:right w:val="single" w:color="999999" w:sz="4" w:space="0"/>
                  </w:tcBorders>
                  <w:shd w:val="clear" w:color="auto" w:fill="FFFFFF"/>
                  <w:noWrap/>
                  <w:tcMar>
                    <w:top w:w="0" w:type="dxa"/>
                    <w:left w:w="108" w:type="dxa"/>
                    <w:bottom w:w="0" w:type="dxa"/>
                    <w:right w:w="108" w:type="dxa"/>
                  </w:tcMar>
                  <w:vAlign w:val="center"/>
                </w:tcPr>
                <w:p w:rsidRPr="00376021" w:rsidR="00781671" w:rsidP="00781671" w:rsidRDefault="00781671" w14:paraId="4808FF5B" w14:textId="77777777">
                  <w:pPr>
                    <w:jc w:val="center"/>
                    <w:rPr>
                      <w:rFonts w:ascii="Arial" w:hAnsi="Arial" w:eastAsia="Times New Roman" w:cs="Arial"/>
                      <w:color w:val="333333"/>
                      <w:lang w:eastAsia="en-GB"/>
                    </w:rPr>
                  </w:pPr>
                  <w:r w:rsidRPr="00376021">
                    <w:rPr>
                      <w:rFonts w:ascii="Arial" w:hAnsi="Arial" w:eastAsia="Times New Roman" w:cs="Arial"/>
                      <w:color w:val="333333"/>
                      <w:lang w:eastAsia="en-GB"/>
                    </w:rPr>
                    <w:t>-16.5%</w:t>
                  </w:r>
                </w:p>
              </w:tc>
            </w:tr>
            <w:tr w:rsidRPr="00376021" w:rsidR="00781671" w:rsidTr="00CD6595" w14:paraId="62E50025" w14:textId="77777777">
              <w:trPr>
                <w:trHeight w:val="263"/>
              </w:trPr>
              <w:tc>
                <w:tcPr>
                  <w:tcW w:w="2740" w:type="dxa"/>
                  <w:tcBorders>
                    <w:top w:val="single" w:color="999999" w:sz="4" w:space="0"/>
                    <w:left w:val="single" w:color="999999" w:sz="4" w:space="0"/>
                    <w:bottom w:val="single" w:color="999999" w:sz="4" w:space="0"/>
                    <w:right w:val="single" w:color="999999" w:sz="4" w:space="0"/>
                  </w:tcBorders>
                  <w:shd w:val="clear" w:color="auto" w:fill="00103C"/>
                  <w:noWrap/>
                  <w:tcMar>
                    <w:top w:w="0" w:type="dxa"/>
                    <w:left w:w="108" w:type="dxa"/>
                    <w:bottom w:w="0" w:type="dxa"/>
                    <w:right w:w="108" w:type="dxa"/>
                  </w:tcMar>
                  <w:vAlign w:val="bottom"/>
                </w:tcPr>
                <w:p w:rsidRPr="00376021" w:rsidR="00781671" w:rsidP="00781671" w:rsidRDefault="00781671" w14:paraId="562210E2" w14:textId="77777777">
                  <w:pPr>
                    <w:rPr>
                      <w:rFonts w:ascii="Arial" w:hAnsi="Arial" w:eastAsia="Times New Roman" w:cs="Arial"/>
                      <w:b/>
                      <w:bCs/>
                      <w:color w:val="FFFFFF"/>
                      <w:lang w:eastAsia="en-GB"/>
                    </w:rPr>
                  </w:pPr>
                  <w:r w:rsidRPr="00376021">
                    <w:rPr>
                      <w:rFonts w:ascii="Arial" w:hAnsi="Arial" w:eastAsia="Times New Roman" w:cs="Arial"/>
                      <w:b/>
                      <w:bCs/>
                      <w:color w:val="FFFFFF"/>
                      <w:lang w:eastAsia="en-GB"/>
                    </w:rPr>
                    <w:t>Adult Conditional Caution</w:t>
                  </w:r>
                </w:p>
              </w:tc>
              <w:tc>
                <w:tcPr>
                  <w:tcW w:w="1440" w:type="dxa"/>
                  <w:tcBorders>
                    <w:bottom w:val="single" w:color="999999" w:sz="4" w:space="0"/>
                    <w:right w:val="single" w:color="999999" w:sz="4" w:space="0"/>
                  </w:tcBorders>
                  <w:shd w:val="clear" w:color="auto" w:fill="FFFFFF"/>
                  <w:noWrap/>
                  <w:tcMar>
                    <w:top w:w="0" w:type="dxa"/>
                    <w:left w:w="108" w:type="dxa"/>
                    <w:bottom w:w="0" w:type="dxa"/>
                    <w:right w:w="108" w:type="dxa"/>
                  </w:tcMar>
                  <w:vAlign w:val="center"/>
                </w:tcPr>
                <w:p w:rsidRPr="00376021" w:rsidR="00781671" w:rsidP="00781671" w:rsidRDefault="00781671" w14:paraId="73EE8265" w14:textId="77777777">
                  <w:pPr>
                    <w:jc w:val="center"/>
                    <w:rPr>
                      <w:rFonts w:ascii="Arial" w:hAnsi="Arial" w:eastAsia="Times New Roman" w:cs="Arial"/>
                      <w:color w:val="333333"/>
                      <w:lang w:eastAsia="en-GB"/>
                    </w:rPr>
                  </w:pPr>
                  <w:r w:rsidRPr="00376021">
                    <w:rPr>
                      <w:rFonts w:ascii="Arial" w:hAnsi="Arial" w:eastAsia="Times New Roman" w:cs="Arial"/>
                      <w:color w:val="333333"/>
                      <w:lang w:eastAsia="en-GB"/>
                    </w:rPr>
                    <w:t>34</w:t>
                  </w:r>
                </w:p>
              </w:tc>
              <w:tc>
                <w:tcPr>
                  <w:tcW w:w="1440" w:type="dxa"/>
                  <w:tcBorders>
                    <w:bottom w:val="single" w:color="999999" w:sz="4" w:space="0"/>
                    <w:right w:val="single" w:color="999999" w:sz="4" w:space="0"/>
                  </w:tcBorders>
                  <w:shd w:val="clear" w:color="auto" w:fill="FFFFFF"/>
                  <w:noWrap/>
                  <w:tcMar>
                    <w:top w:w="0" w:type="dxa"/>
                    <w:left w:w="108" w:type="dxa"/>
                    <w:bottom w:w="0" w:type="dxa"/>
                    <w:right w:w="108" w:type="dxa"/>
                  </w:tcMar>
                  <w:vAlign w:val="center"/>
                </w:tcPr>
                <w:p w:rsidRPr="00376021" w:rsidR="00781671" w:rsidP="00781671" w:rsidRDefault="00781671" w14:paraId="200D43CC" w14:textId="77777777">
                  <w:pPr>
                    <w:jc w:val="center"/>
                    <w:rPr>
                      <w:rFonts w:ascii="Arial" w:hAnsi="Arial" w:eastAsia="Times New Roman" w:cs="Arial"/>
                      <w:color w:val="333333"/>
                      <w:lang w:eastAsia="en-GB"/>
                    </w:rPr>
                  </w:pPr>
                  <w:r w:rsidRPr="00376021">
                    <w:rPr>
                      <w:rFonts w:ascii="Arial" w:hAnsi="Arial" w:eastAsia="Times New Roman" w:cs="Arial"/>
                      <w:color w:val="333333"/>
                      <w:lang w:eastAsia="en-GB"/>
                    </w:rPr>
                    <w:t>298</w:t>
                  </w:r>
                </w:p>
              </w:tc>
              <w:tc>
                <w:tcPr>
                  <w:tcW w:w="1440" w:type="dxa"/>
                  <w:tcBorders>
                    <w:bottom w:val="single" w:color="999999" w:sz="4" w:space="0"/>
                    <w:right w:val="single" w:color="999999" w:sz="4" w:space="0"/>
                  </w:tcBorders>
                  <w:shd w:val="clear" w:color="auto" w:fill="FFFFFF"/>
                  <w:noWrap/>
                  <w:tcMar>
                    <w:top w:w="0" w:type="dxa"/>
                    <w:left w:w="108" w:type="dxa"/>
                    <w:bottom w:w="0" w:type="dxa"/>
                    <w:right w:w="108" w:type="dxa"/>
                  </w:tcMar>
                  <w:vAlign w:val="center"/>
                </w:tcPr>
                <w:p w:rsidRPr="00376021" w:rsidR="00781671" w:rsidP="00781671" w:rsidRDefault="00781671" w14:paraId="37EE9A30" w14:textId="77777777">
                  <w:pPr>
                    <w:jc w:val="center"/>
                    <w:rPr>
                      <w:rFonts w:ascii="Arial" w:hAnsi="Arial" w:eastAsia="Times New Roman" w:cs="Arial"/>
                      <w:color w:val="333333"/>
                      <w:lang w:eastAsia="en-GB"/>
                    </w:rPr>
                  </w:pPr>
                  <w:r w:rsidRPr="00376021">
                    <w:rPr>
                      <w:rFonts w:ascii="Arial" w:hAnsi="Arial" w:eastAsia="Times New Roman" w:cs="Arial"/>
                      <w:color w:val="333333"/>
                      <w:lang w:eastAsia="en-GB"/>
                    </w:rPr>
                    <w:t>+264</w:t>
                  </w:r>
                </w:p>
              </w:tc>
              <w:tc>
                <w:tcPr>
                  <w:tcW w:w="1440" w:type="dxa"/>
                  <w:tcBorders>
                    <w:bottom w:val="single" w:color="999999" w:sz="4" w:space="0"/>
                    <w:right w:val="single" w:color="999999" w:sz="4" w:space="0"/>
                  </w:tcBorders>
                  <w:shd w:val="clear" w:color="auto" w:fill="FFFFFF"/>
                  <w:noWrap/>
                  <w:tcMar>
                    <w:top w:w="0" w:type="dxa"/>
                    <w:left w:w="108" w:type="dxa"/>
                    <w:bottom w:w="0" w:type="dxa"/>
                    <w:right w:w="108" w:type="dxa"/>
                  </w:tcMar>
                  <w:vAlign w:val="center"/>
                </w:tcPr>
                <w:p w:rsidRPr="00376021" w:rsidR="00781671" w:rsidP="00781671" w:rsidRDefault="00781671" w14:paraId="579DFC4D" w14:textId="77777777">
                  <w:pPr>
                    <w:jc w:val="center"/>
                    <w:rPr>
                      <w:rFonts w:ascii="Arial" w:hAnsi="Arial" w:eastAsia="Times New Roman" w:cs="Arial"/>
                      <w:color w:val="333333"/>
                      <w:lang w:eastAsia="en-GB"/>
                    </w:rPr>
                  </w:pPr>
                  <w:r w:rsidRPr="00376021">
                    <w:rPr>
                      <w:rFonts w:ascii="Arial" w:hAnsi="Arial" w:eastAsia="Times New Roman" w:cs="Arial"/>
                      <w:color w:val="333333"/>
                      <w:lang w:eastAsia="en-GB"/>
                    </w:rPr>
                    <w:t>776.5%</w:t>
                  </w:r>
                </w:p>
              </w:tc>
            </w:tr>
          </w:tbl>
          <w:p w:rsidRPr="00376021" w:rsidR="00781671" w:rsidP="00781671" w:rsidRDefault="00781671" w14:paraId="0643740C" w14:textId="77777777">
            <w:pPr>
              <w:rPr>
                <w:rFonts w:ascii="Arial" w:hAnsi="Arial" w:cs="Arial"/>
              </w:rPr>
            </w:pPr>
          </w:p>
          <w:p w:rsidRPr="00376021" w:rsidR="00781671" w:rsidP="00781671" w:rsidRDefault="00781671" w14:paraId="64C79359" w14:textId="2A0711C0">
            <w:pPr>
              <w:pStyle w:val="NoSpacing"/>
              <w:jc w:val="both"/>
              <w:rPr>
                <w:rFonts w:ascii="Arial" w:hAnsi="Arial" w:cs="Arial"/>
              </w:rPr>
            </w:pPr>
            <w:r w:rsidRPr="00376021">
              <w:rPr>
                <w:rFonts w:ascii="Arial" w:hAnsi="Arial" w:cs="Arial"/>
              </w:rPr>
              <w:t xml:space="preserve">Conditional Cautions are currently administered by a small team of 1 Sgt and 3 Constables based within the city PHT. The work includes reviewing and ensuring the appropriateness of the CC use, arranging rehabilitative services, driving offender compliance and where </w:t>
            </w:r>
            <w:r w:rsidR="00CD4C74">
              <w:rPr>
                <w:rFonts w:ascii="Arial" w:hAnsi="Arial" w:cs="Arial"/>
              </w:rPr>
              <w:t xml:space="preserve">              </w:t>
            </w:r>
            <w:r w:rsidRPr="00376021">
              <w:rPr>
                <w:rFonts w:ascii="Arial" w:hAnsi="Arial" w:cs="Arial"/>
              </w:rPr>
              <w:t xml:space="preserve">non-compliance ensuring OICs complete subsequent files. The team ensure PNC records are appropriately updated. </w:t>
            </w:r>
          </w:p>
          <w:p w:rsidRPr="00376021" w:rsidR="00781671" w:rsidP="00781671" w:rsidRDefault="00781671" w14:paraId="576CB6DD" w14:textId="77777777">
            <w:pPr>
              <w:rPr>
                <w:rFonts w:ascii="Arial" w:hAnsi="Arial" w:cs="Arial"/>
              </w:rPr>
            </w:pPr>
          </w:p>
          <w:p w:rsidRPr="00376021" w:rsidR="00781671" w:rsidP="00781671" w:rsidRDefault="00781671" w14:paraId="00B02DF5" w14:textId="77777777">
            <w:pPr>
              <w:pStyle w:val="NoSpacing"/>
              <w:jc w:val="both"/>
              <w:rPr>
                <w:rFonts w:ascii="Arial" w:hAnsi="Arial" w:cs="Arial"/>
              </w:rPr>
            </w:pPr>
            <w:r w:rsidRPr="00376021">
              <w:rPr>
                <w:rFonts w:ascii="Arial" w:hAnsi="Arial" w:cs="Arial"/>
              </w:rPr>
              <w:t>In support of delivering Conditional Cautions Nottinghamshire Police currently work with the below partners to deliver diversionary provisions:</w:t>
            </w:r>
          </w:p>
          <w:p w:rsidRPr="00376021" w:rsidR="00781671" w:rsidP="00781671" w:rsidRDefault="00781671" w14:paraId="01DFB22D" w14:textId="77777777">
            <w:pPr>
              <w:pStyle w:val="NoSpacing"/>
              <w:jc w:val="both"/>
              <w:rPr>
                <w:rFonts w:ascii="Arial" w:hAnsi="Arial" w:cs="Arial"/>
              </w:rPr>
            </w:pPr>
          </w:p>
          <w:p w:rsidRPr="00376021" w:rsidR="00781671" w:rsidP="00781671" w:rsidRDefault="00781671" w14:paraId="7DC3153A" w14:textId="4C5131E4">
            <w:pPr>
              <w:pStyle w:val="NoSpacing"/>
              <w:numPr>
                <w:ilvl w:val="0"/>
                <w:numId w:val="6"/>
              </w:numPr>
              <w:jc w:val="both"/>
              <w:rPr>
                <w:rFonts w:ascii="Arial" w:hAnsi="Arial" w:cs="Arial"/>
              </w:rPr>
            </w:pPr>
            <w:r w:rsidRPr="00376021">
              <w:rPr>
                <w:rFonts w:ascii="Arial" w:hAnsi="Arial" w:cs="Arial"/>
                <w:b/>
                <w:bCs/>
              </w:rPr>
              <w:t xml:space="preserve">Change Grow Live </w:t>
            </w:r>
            <w:r w:rsidRPr="00376021">
              <w:rPr>
                <w:rFonts w:ascii="Arial" w:hAnsi="Arial" w:cs="Arial"/>
              </w:rPr>
              <w:t xml:space="preserve">(County only) to deliver alcohol and drugs diversionary </w:t>
            </w:r>
            <w:r w:rsidR="00CD4C74">
              <w:rPr>
                <w:rFonts w:ascii="Arial" w:hAnsi="Arial" w:cs="Arial"/>
              </w:rPr>
              <w:t xml:space="preserve">                    </w:t>
            </w:r>
            <w:r w:rsidRPr="00376021">
              <w:rPr>
                <w:rFonts w:ascii="Arial" w:hAnsi="Arial" w:cs="Arial"/>
              </w:rPr>
              <w:t xml:space="preserve">programmes. Commissioned by the OPCC it is believed they will have capacity to deal with the additional demand when the changes take place however, further discussions around this need to take place to ensure the current capacity can meet the anticipated increase in demand. </w:t>
            </w:r>
          </w:p>
          <w:p w:rsidRPr="00376021" w:rsidR="00781671" w:rsidP="00781671" w:rsidRDefault="00781671" w14:paraId="40125634" w14:textId="77777777">
            <w:pPr>
              <w:pStyle w:val="NoSpacing"/>
              <w:ind w:left="360"/>
              <w:jc w:val="both"/>
              <w:rPr>
                <w:rFonts w:ascii="Arial" w:hAnsi="Arial" w:cs="Arial"/>
              </w:rPr>
            </w:pPr>
          </w:p>
          <w:p w:rsidRPr="00376021" w:rsidR="00781671" w:rsidP="00781671" w:rsidRDefault="00781671" w14:paraId="1A81EB6D" w14:textId="362E6553">
            <w:pPr>
              <w:pStyle w:val="NoSpacing"/>
              <w:numPr>
                <w:ilvl w:val="0"/>
                <w:numId w:val="6"/>
              </w:numPr>
              <w:jc w:val="both"/>
              <w:rPr>
                <w:rFonts w:ascii="Arial" w:hAnsi="Arial" w:cs="Arial"/>
              </w:rPr>
            </w:pPr>
            <w:r w:rsidRPr="00376021">
              <w:rPr>
                <w:rFonts w:ascii="Arial" w:hAnsi="Arial" w:cs="Arial"/>
                <w:b/>
                <w:bCs/>
              </w:rPr>
              <w:t>Clean Slate</w:t>
            </w:r>
            <w:r w:rsidRPr="00376021">
              <w:rPr>
                <w:rFonts w:ascii="Arial" w:hAnsi="Arial" w:cs="Arial"/>
              </w:rPr>
              <w:t xml:space="preserve"> (City only) to deliver alcohol and drugs diversionary programmes. </w:t>
            </w:r>
            <w:r w:rsidR="00CD4C74">
              <w:rPr>
                <w:rFonts w:ascii="Arial" w:hAnsi="Arial" w:cs="Arial"/>
              </w:rPr>
              <w:t xml:space="preserve">           </w:t>
            </w:r>
            <w:r w:rsidRPr="00376021">
              <w:rPr>
                <w:rFonts w:ascii="Arial" w:hAnsi="Arial" w:cs="Arial"/>
              </w:rPr>
              <w:t xml:space="preserve">Commissioned by the OPCC it is believed they will have capacity to deal with the </w:t>
            </w:r>
            <w:r w:rsidR="00CD4C74">
              <w:rPr>
                <w:rFonts w:ascii="Arial" w:hAnsi="Arial" w:cs="Arial"/>
              </w:rPr>
              <w:t xml:space="preserve">          </w:t>
            </w:r>
            <w:r w:rsidRPr="00376021">
              <w:rPr>
                <w:rFonts w:ascii="Arial" w:hAnsi="Arial" w:cs="Arial"/>
              </w:rPr>
              <w:t xml:space="preserve">additional demand when the changes take place however, further discussions around this need to take place to ensure the current capacity can meet the anticipated increase in demand. </w:t>
            </w:r>
          </w:p>
          <w:p w:rsidRPr="00376021" w:rsidR="00781671" w:rsidP="00781671" w:rsidRDefault="00781671" w14:paraId="0531629C" w14:textId="77777777">
            <w:pPr>
              <w:pStyle w:val="NoSpacing"/>
              <w:ind w:left="720"/>
              <w:jc w:val="both"/>
              <w:rPr>
                <w:rFonts w:ascii="Arial" w:hAnsi="Arial" w:cs="Arial"/>
              </w:rPr>
            </w:pPr>
          </w:p>
          <w:p w:rsidRPr="00376021" w:rsidR="00781671" w:rsidP="00781671" w:rsidRDefault="00781671" w14:paraId="52A09C04" w14:textId="77777777">
            <w:pPr>
              <w:pStyle w:val="NoSpacing"/>
              <w:numPr>
                <w:ilvl w:val="0"/>
                <w:numId w:val="6"/>
              </w:numPr>
              <w:jc w:val="both"/>
              <w:rPr>
                <w:rFonts w:ascii="Arial" w:hAnsi="Arial" w:cs="Arial"/>
              </w:rPr>
            </w:pPr>
            <w:r w:rsidRPr="00376021">
              <w:rPr>
                <w:rFonts w:ascii="Arial" w:hAnsi="Arial" w:cs="Arial"/>
                <w:b/>
                <w:bCs/>
              </w:rPr>
              <w:t>Victim Awareness course</w:t>
            </w:r>
            <w:r w:rsidRPr="00376021">
              <w:rPr>
                <w:rFonts w:ascii="Arial" w:hAnsi="Arial" w:cs="Arial"/>
              </w:rPr>
              <w:t>. Available force wide at a cost of £75 for cautions. There is no cost to the police.</w:t>
            </w:r>
          </w:p>
          <w:p w:rsidRPr="00376021" w:rsidR="00781671" w:rsidP="00781671" w:rsidRDefault="00781671" w14:paraId="768E18C5" w14:textId="77777777">
            <w:pPr>
              <w:pStyle w:val="NoSpacing"/>
              <w:jc w:val="both"/>
              <w:rPr>
                <w:rFonts w:ascii="Arial" w:hAnsi="Arial" w:cs="Arial"/>
              </w:rPr>
            </w:pPr>
          </w:p>
          <w:p w:rsidRPr="00376021" w:rsidR="00781671" w:rsidP="00781671" w:rsidRDefault="00781671" w14:paraId="44593D2B" w14:textId="77777777">
            <w:pPr>
              <w:pStyle w:val="NoSpacing"/>
              <w:numPr>
                <w:ilvl w:val="0"/>
                <w:numId w:val="6"/>
              </w:numPr>
              <w:jc w:val="both"/>
              <w:rPr>
                <w:rFonts w:ascii="Arial" w:hAnsi="Arial" w:cs="Arial"/>
              </w:rPr>
            </w:pPr>
            <w:r w:rsidRPr="00376021">
              <w:rPr>
                <w:rFonts w:ascii="Arial" w:hAnsi="Arial" w:cs="Arial"/>
                <w:b/>
                <w:bCs/>
              </w:rPr>
              <w:t>Project Nova</w:t>
            </w:r>
            <w:r w:rsidRPr="00376021">
              <w:rPr>
                <w:rFonts w:ascii="Arial" w:hAnsi="Arial" w:cs="Arial"/>
              </w:rPr>
              <w:t>. A national scheme supporting armed forces veterans for wider support and engagement. This scheme is commissioned at a national level at no cost to the police.</w:t>
            </w:r>
          </w:p>
          <w:p w:rsidRPr="00376021" w:rsidR="00781671" w:rsidP="00781671" w:rsidRDefault="00781671" w14:paraId="2E8C8159" w14:textId="77777777">
            <w:pPr>
              <w:pStyle w:val="NoSpacing"/>
              <w:ind w:left="720"/>
              <w:jc w:val="both"/>
              <w:rPr>
                <w:rFonts w:ascii="Arial" w:hAnsi="Arial" w:cs="Arial"/>
              </w:rPr>
            </w:pPr>
          </w:p>
          <w:p w:rsidRPr="00376021" w:rsidR="00781671" w:rsidP="00781671" w:rsidRDefault="00781671" w14:paraId="5F4B0E4B" w14:textId="77777777">
            <w:pPr>
              <w:pStyle w:val="NoSpacing"/>
              <w:numPr>
                <w:ilvl w:val="0"/>
                <w:numId w:val="6"/>
              </w:numPr>
              <w:jc w:val="both"/>
              <w:rPr>
                <w:rFonts w:ascii="Arial" w:hAnsi="Arial" w:cs="Arial"/>
              </w:rPr>
            </w:pPr>
            <w:r w:rsidRPr="00376021">
              <w:rPr>
                <w:rFonts w:ascii="Arial" w:hAnsi="Arial" w:cs="Arial"/>
                <w:b/>
                <w:bCs/>
              </w:rPr>
              <w:t>Changing Lives</w:t>
            </w:r>
            <w:r w:rsidRPr="00376021">
              <w:rPr>
                <w:rFonts w:ascii="Arial" w:hAnsi="Arial" w:cs="Arial"/>
              </w:rPr>
              <w:t>. Commissioned by the OPCC and funded through until April 2023, this scheme aims to support female offenders from a holistic perspective. 2021 saw just 2 referrals however, so far in 2022 the force has made 25 referrals to date.</w:t>
            </w:r>
          </w:p>
          <w:p w:rsidRPr="00376021" w:rsidR="00781671" w:rsidP="00781671" w:rsidRDefault="00781671" w14:paraId="5D7040B7" w14:textId="77777777">
            <w:pPr>
              <w:pStyle w:val="NoSpacing"/>
              <w:jc w:val="both"/>
              <w:rPr>
                <w:rFonts w:ascii="Arial" w:hAnsi="Arial" w:cs="Arial"/>
              </w:rPr>
            </w:pPr>
          </w:p>
          <w:p w:rsidRPr="00376021" w:rsidR="00781671" w:rsidP="00781671" w:rsidRDefault="00781671" w14:paraId="366F94C8" w14:textId="77777777">
            <w:pPr>
              <w:pStyle w:val="NoSpacing"/>
              <w:numPr>
                <w:ilvl w:val="0"/>
                <w:numId w:val="6"/>
              </w:numPr>
              <w:jc w:val="both"/>
              <w:rPr>
                <w:rFonts w:ascii="Arial" w:hAnsi="Arial" w:cs="Arial"/>
              </w:rPr>
            </w:pPr>
            <w:r w:rsidRPr="00376021">
              <w:rPr>
                <w:rFonts w:ascii="Arial" w:hAnsi="Arial" w:cs="Arial"/>
                <w:b/>
                <w:bCs/>
              </w:rPr>
              <w:t>Mental Health CC</w:t>
            </w:r>
            <w:r w:rsidRPr="00376021">
              <w:rPr>
                <w:rFonts w:ascii="Arial" w:hAnsi="Arial" w:cs="Arial"/>
              </w:rPr>
              <w:t>. Funded by Notts Police until November 2022. This diversion aims to tackle offenders suffering from mental health.</w:t>
            </w:r>
          </w:p>
          <w:p w:rsidRPr="00376021" w:rsidR="00781671" w:rsidP="00781671" w:rsidRDefault="00781671" w14:paraId="71AB9080" w14:textId="77777777">
            <w:pPr>
              <w:rPr>
                <w:rFonts w:ascii="Arial" w:hAnsi="Arial" w:cs="Arial"/>
              </w:rPr>
            </w:pPr>
          </w:p>
          <w:p w:rsidRPr="00376021" w:rsidR="00781671" w:rsidP="00781671" w:rsidRDefault="00781671" w14:paraId="5DD36227" w14:textId="77777777">
            <w:pPr>
              <w:rPr>
                <w:rFonts w:ascii="Arial" w:hAnsi="Arial" w:cs="Arial"/>
              </w:rPr>
            </w:pPr>
            <w:r w:rsidRPr="00376021">
              <w:rPr>
                <w:rFonts w:ascii="Arial" w:hAnsi="Arial" w:cs="Arial"/>
              </w:rPr>
              <w:t>Proposed other areas for consideration of commissioning:</w:t>
            </w:r>
          </w:p>
          <w:p w:rsidRPr="00376021" w:rsidR="00781671" w:rsidP="00781671" w:rsidRDefault="00781671" w14:paraId="1169627D" w14:textId="77777777">
            <w:pPr>
              <w:rPr>
                <w:rFonts w:ascii="Arial" w:hAnsi="Arial" w:cs="Arial"/>
              </w:rPr>
            </w:pPr>
          </w:p>
          <w:p w:rsidRPr="00376021" w:rsidR="00781671" w:rsidP="00781671" w:rsidRDefault="00781671" w14:paraId="12F4139B" w14:textId="2CF1E88F">
            <w:pPr>
              <w:pStyle w:val="NoSpacing"/>
              <w:numPr>
                <w:ilvl w:val="0"/>
                <w:numId w:val="6"/>
              </w:numPr>
              <w:jc w:val="both"/>
              <w:rPr>
                <w:rFonts w:ascii="Arial" w:hAnsi="Arial" w:cs="Arial"/>
              </w:rPr>
            </w:pPr>
            <w:r w:rsidRPr="00376021">
              <w:rPr>
                <w:rFonts w:ascii="Arial" w:hAnsi="Arial" w:cs="Arial"/>
                <w:b/>
                <w:bCs/>
              </w:rPr>
              <w:t>Break the cycle (hate crime)</w:t>
            </w:r>
            <w:r w:rsidRPr="00376021">
              <w:rPr>
                <w:rFonts w:ascii="Arial" w:hAnsi="Arial" w:cs="Arial"/>
              </w:rPr>
              <w:t xml:space="preserve">. The National Holocaust centre previously provided an educational programme for offenders committing low level hate crime. This was police funded however, funding has now ceased. Consideration should be given to </w:t>
            </w:r>
            <w:proofErr w:type="gramStart"/>
            <w:r w:rsidRPr="00376021">
              <w:rPr>
                <w:rFonts w:ascii="Arial" w:hAnsi="Arial" w:cs="Arial"/>
              </w:rPr>
              <w:t xml:space="preserve">further </w:t>
            </w:r>
            <w:r w:rsidR="00CD4C74">
              <w:rPr>
                <w:rFonts w:ascii="Arial" w:hAnsi="Arial" w:cs="Arial"/>
              </w:rPr>
              <w:t xml:space="preserve"> </w:t>
            </w:r>
            <w:r w:rsidRPr="00376021">
              <w:rPr>
                <w:rFonts w:ascii="Arial" w:hAnsi="Arial" w:cs="Arial"/>
              </w:rPr>
              <w:t>commissioning</w:t>
            </w:r>
            <w:proofErr w:type="gramEnd"/>
            <w:r w:rsidRPr="00376021">
              <w:rPr>
                <w:rFonts w:ascii="Arial" w:hAnsi="Arial" w:cs="Arial"/>
              </w:rPr>
              <w:t xml:space="preserve"> of this service or a similar agency. </w:t>
            </w:r>
          </w:p>
          <w:p w:rsidRPr="00376021" w:rsidR="00781671" w:rsidP="00781671" w:rsidRDefault="00781671" w14:paraId="38A0CBA5" w14:textId="77777777">
            <w:pPr>
              <w:pStyle w:val="NoSpacing"/>
              <w:ind w:left="720"/>
              <w:jc w:val="both"/>
              <w:rPr>
                <w:rFonts w:ascii="Arial" w:hAnsi="Arial" w:cs="Arial"/>
              </w:rPr>
            </w:pPr>
          </w:p>
          <w:p w:rsidRPr="00376021" w:rsidR="00781671" w:rsidP="00781671" w:rsidRDefault="00781671" w14:paraId="0BB14479" w14:textId="3368450E">
            <w:pPr>
              <w:pStyle w:val="NoSpacing"/>
              <w:numPr>
                <w:ilvl w:val="0"/>
                <w:numId w:val="6"/>
              </w:numPr>
              <w:jc w:val="both"/>
              <w:rPr>
                <w:rFonts w:ascii="Arial" w:hAnsi="Arial" w:cs="Arial"/>
              </w:rPr>
            </w:pPr>
            <w:r w:rsidRPr="00376021">
              <w:rPr>
                <w:rFonts w:ascii="Arial" w:hAnsi="Arial" w:cs="Arial"/>
                <w:b/>
                <w:bCs/>
              </w:rPr>
              <w:t>Domestic violence (standard risk DV)</w:t>
            </w:r>
            <w:r w:rsidRPr="00376021">
              <w:rPr>
                <w:rFonts w:ascii="Arial" w:hAnsi="Arial" w:cs="Arial"/>
              </w:rPr>
              <w:t xml:space="preserve">. Work is being undertaken at a national level in respect of diversionary courses for DV offenders. The service provider being CARA, whom, are already working with a handful of forces with a view to this being agreed by the </w:t>
            </w:r>
            <w:proofErr w:type="spellStart"/>
            <w:r w:rsidRPr="00376021">
              <w:rPr>
                <w:rFonts w:ascii="Arial" w:hAnsi="Arial" w:cs="Arial"/>
              </w:rPr>
              <w:t>MoJ</w:t>
            </w:r>
            <w:proofErr w:type="spellEnd"/>
            <w:r w:rsidRPr="00376021">
              <w:rPr>
                <w:rFonts w:ascii="Arial" w:hAnsi="Arial" w:cs="Arial"/>
              </w:rPr>
              <w:t xml:space="preserve"> to be the national provider to all forces. As of April 2023, when the 2-tier </w:t>
            </w:r>
            <w:r w:rsidR="00CD4C74">
              <w:rPr>
                <w:rFonts w:ascii="Arial" w:hAnsi="Arial" w:cs="Arial"/>
              </w:rPr>
              <w:t xml:space="preserve">      </w:t>
            </w:r>
            <w:r w:rsidRPr="00376021">
              <w:rPr>
                <w:rFonts w:ascii="Arial" w:hAnsi="Arial" w:cs="Arial"/>
              </w:rPr>
              <w:t xml:space="preserve">framework commences all forces will be given dispensation to deal with standard risk, non-intimate DV related cases by means of a Conditional Caution </w:t>
            </w:r>
          </w:p>
          <w:p w:rsidRPr="00376021" w:rsidR="00781671" w:rsidP="00781671" w:rsidRDefault="00781671" w14:paraId="2A9C8D08" w14:textId="77777777">
            <w:pPr>
              <w:pStyle w:val="NoSpacing"/>
              <w:ind w:left="720"/>
              <w:jc w:val="both"/>
              <w:rPr>
                <w:rFonts w:ascii="Arial" w:hAnsi="Arial" w:cs="Arial"/>
              </w:rPr>
            </w:pPr>
          </w:p>
          <w:p w:rsidRPr="00376021" w:rsidR="00781671" w:rsidP="00781671" w:rsidRDefault="00781671" w14:paraId="52DB32CA" w14:textId="77777777">
            <w:pPr>
              <w:pStyle w:val="NoSpacing"/>
              <w:numPr>
                <w:ilvl w:val="0"/>
                <w:numId w:val="6"/>
              </w:numPr>
              <w:jc w:val="both"/>
              <w:rPr>
                <w:rFonts w:ascii="Arial" w:hAnsi="Arial" w:cs="Arial"/>
              </w:rPr>
            </w:pPr>
            <w:r w:rsidRPr="00376021">
              <w:rPr>
                <w:rFonts w:ascii="Arial" w:hAnsi="Arial" w:cs="Arial"/>
                <w:b/>
                <w:bCs/>
              </w:rPr>
              <w:t>Anger management</w:t>
            </w:r>
            <w:r w:rsidRPr="00376021">
              <w:rPr>
                <w:rFonts w:ascii="Arial" w:hAnsi="Arial" w:cs="Arial"/>
              </w:rPr>
              <w:t xml:space="preserve">- Consideration to be given for adult males aged between 18 and 24 for low level offences that are driven by anger issues. Although the force </w:t>
            </w:r>
            <w:proofErr w:type="gramStart"/>
            <w:r w:rsidRPr="00376021">
              <w:rPr>
                <w:rFonts w:ascii="Arial" w:hAnsi="Arial" w:cs="Arial"/>
              </w:rPr>
              <w:t>are</w:t>
            </w:r>
            <w:proofErr w:type="gramEnd"/>
            <w:r w:rsidRPr="00376021">
              <w:rPr>
                <w:rFonts w:ascii="Arial" w:hAnsi="Arial" w:cs="Arial"/>
              </w:rPr>
              <w:t xml:space="preserve"> currently using the victim awareness course, not all offences involve a victim of crime therefore, anger management intervention would fulfil this gap.</w:t>
            </w:r>
          </w:p>
          <w:p w:rsidRPr="00376021" w:rsidR="00781671" w:rsidP="00781671" w:rsidRDefault="00781671" w14:paraId="3E3842C7" w14:textId="77777777">
            <w:pPr>
              <w:pStyle w:val="NoSpacing"/>
              <w:jc w:val="both"/>
              <w:rPr>
                <w:rFonts w:ascii="Arial" w:hAnsi="Arial" w:cs="Arial"/>
              </w:rPr>
            </w:pPr>
          </w:p>
          <w:p w:rsidRPr="00376021" w:rsidR="00781671" w:rsidP="00781671" w:rsidRDefault="00781671" w14:paraId="0F66AC81" w14:textId="422DFB29">
            <w:pPr>
              <w:pStyle w:val="NoSpacing"/>
              <w:numPr>
                <w:ilvl w:val="0"/>
                <w:numId w:val="6"/>
              </w:numPr>
              <w:jc w:val="both"/>
              <w:rPr>
                <w:rFonts w:ascii="Arial" w:hAnsi="Arial" w:cs="Arial"/>
              </w:rPr>
            </w:pPr>
            <w:r w:rsidRPr="00376021">
              <w:rPr>
                <w:rFonts w:ascii="Arial" w:hAnsi="Arial" w:cs="Arial"/>
                <w:b/>
                <w:bCs/>
              </w:rPr>
              <w:t>Gambling addiction</w:t>
            </w:r>
            <w:r w:rsidRPr="00376021">
              <w:rPr>
                <w:rFonts w:ascii="Arial" w:hAnsi="Arial" w:cs="Arial"/>
              </w:rPr>
              <w:t xml:space="preserve">. Consideration should be given in commissioning </w:t>
            </w:r>
            <w:proofErr w:type="gramStart"/>
            <w:r w:rsidRPr="00376021">
              <w:rPr>
                <w:rFonts w:ascii="Arial" w:hAnsi="Arial" w:cs="Arial"/>
              </w:rPr>
              <w:t xml:space="preserve">diversionary </w:t>
            </w:r>
            <w:r w:rsidR="00CD4C74">
              <w:rPr>
                <w:rFonts w:ascii="Arial" w:hAnsi="Arial" w:cs="Arial"/>
              </w:rPr>
              <w:t xml:space="preserve"> </w:t>
            </w:r>
            <w:r w:rsidRPr="00376021">
              <w:rPr>
                <w:rFonts w:ascii="Arial" w:hAnsi="Arial" w:cs="Arial"/>
              </w:rPr>
              <w:t>services</w:t>
            </w:r>
            <w:proofErr w:type="gramEnd"/>
            <w:r w:rsidRPr="00376021">
              <w:rPr>
                <w:rFonts w:ascii="Arial" w:hAnsi="Arial" w:cs="Arial"/>
              </w:rPr>
              <w:t xml:space="preserve"> to those offenders who commit crime driven through gambling addictions.</w:t>
            </w:r>
          </w:p>
          <w:p w:rsidRPr="00376021" w:rsidR="00781671" w:rsidP="00781671" w:rsidRDefault="00781671" w14:paraId="70F48D07" w14:textId="77777777">
            <w:pPr>
              <w:jc w:val="both"/>
              <w:rPr>
                <w:rFonts w:ascii="Arial" w:hAnsi="Arial" w:cs="Arial"/>
              </w:rPr>
            </w:pPr>
          </w:p>
          <w:p w:rsidRPr="00376021" w:rsidR="00781671" w:rsidP="00781671" w:rsidRDefault="00781671" w14:paraId="70D34046" w14:textId="77777777">
            <w:pPr>
              <w:jc w:val="both"/>
              <w:rPr>
                <w:rFonts w:ascii="Arial" w:hAnsi="Arial" w:cs="Arial"/>
              </w:rPr>
            </w:pPr>
          </w:p>
          <w:p w:rsidRPr="00376021" w:rsidR="00781671" w:rsidP="00781671" w:rsidRDefault="00781671" w14:paraId="783AD64E" w14:textId="77777777">
            <w:pPr>
              <w:jc w:val="both"/>
              <w:rPr>
                <w:rFonts w:ascii="Arial" w:hAnsi="Arial" w:cs="Arial"/>
              </w:rPr>
            </w:pPr>
          </w:p>
        </w:tc>
      </w:tr>
    </w:tbl>
    <w:p w:rsidRPr="00376021" w:rsidR="00304CAC" w:rsidRDefault="00304CAC" w14:paraId="51A4FD03" w14:textId="77777777">
      <w:pPr>
        <w:rPr>
          <w:rFonts w:ascii="Arial" w:hAnsi="Arial" w:cs="Arial"/>
          <w:color w:val="101010"/>
          <w:shd w:val="clear" w:color="auto" w:fill="EBF2F9"/>
        </w:rPr>
      </w:pPr>
    </w:p>
    <w:p w:rsidRPr="00376021" w:rsidR="00304CAC" w:rsidRDefault="00304CAC" w14:paraId="418B4EF5" w14:textId="77777777">
      <w:pPr>
        <w:rPr>
          <w:rFonts w:ascii="Arial" w:hAnsi="Arial" w:cs="Arial"/>
          <w:color w:val="101010"/>
          <w:shd w:val="clear" w:color="auto" w:fill="EBF2F9"/>
        </w:rPr>
      </w:pPr>
    </w:p>
    <w:p w:rsidRPr="00376021" w:rsidR="00304CAC" w:rsidRDefault="00304CAC" w14:paraId="1860D1F1" w14:textId="77777777">
      <w:pPr>
        <w:rPr>
          <w:rFonts w:ascii="Arial" w:hAnsi="Arial" w:cs="Arial"/>
          <w:color w:val="101010"/>
          <w:shd w:val="clear" w:color="auto" w:fill="EBF2F9"/>
        </w:rPr>
      </w:pPr>
    </w:p>
    <w:p w:rsidRPr="00376021" w:rsidR="00304CAC" w:rsidRDefault="00304CAC" w14:paraId="5562C239" w14:textId="77777777">
      <w:pPr>
        <w:rPr>
          <w:rFonts w:ascii="Arial" w:hAnsi="Arial" w:cs="Arial"/>
          <w:color w:val="101010"/>
          <w:shd w:val="clear" w:color="auto" w:fill="EBF2F9"/>
        </w:rPr>
      </w:pPr>
    </w:p>
    <w:tbl>
      <w:tblPr>
        <w:tblW w:w="9209" w:type="dxa"/>
        <w:tblCellMar>
          <w:left w:w="10" w:type="dxa"/>
          <w:right w:w="10" w:type="dxa"/>
        </w:tblCellMar>
        <w:tblLook w:val="0000" w:firstRow="0" w:lastRow="0" w:firstColumn="0" w:lastColumn="0" w:noHBand="0" w:noVBand="0"/>
      </w:tblPr>
      <w:tblGrid>
        <w:gridCol w:w="9246"/>
      </w:tblGrid>
      <w:tr w:rsidRPr="00376021" w:rsidR="00304CAC" w14:paraId="6FF56013" w14:textId="77777777">
        <w:tc>
          <w:tcPr>
            <w:tcW w:w="9209" w:type="dxa"/>
            <w:tcBorders>
              <w:top w:val="single" w:color="000000" w:sz="4" w:space="0"/>
              <w:left w:val="single" w:color="000000" w:sz="4" w:space="0"/>
              <w:bottom w:val="single" w:color="000000" w:sz="4" w:space="0"/>
              <w:right w:val="single" w:color="000000" w:sz="4" w:space="0"/>
            </w:tcBorders>
            <w:shd w:val="clear" w:color="auto" w:fill="EAF1DD"/>
            <w:tcMar>
              <w:top w:w="0" w:type="dxa"/>
              <w:left w:w="108" w:type="dxa"/>
              <w:bottom w:w="0" w:type="dxa"/>
              <w:right w:w="108" w:type="dxa"/>
            </w:tcMar>
          </w:tcPr>
          <w:p w:rsidRPr="00376021" w:rsidR="00304CAC" w:rsidRDefault="00304CAC" w14:paraId="48C1DCF9" w14:textId="77777777">
            <w:pPr>
              <w:rPr>
                <w:rFonts w:ascii="Arial" w:hAnsi="Arial" w:cs="Arial"/>
              </w:rPr>
            </w:pPr>
            <w:bookmarkStart w:name="_Hlk103082925" w:id="0"/>
          </w:p>
          <w:p w:rsidRPr="00376021" w:rsidR="00304CAC" w:rsidRDefault="008F707E" w14:paraId="5047153F" w14:textId="7345A960">
            <w:pPr>
              <w:rPr>
                <w:rFonts w:ascii="Arial" w:hAnsi="Arial" w:cs="Arial"/>
                <w:b/>
                <w:bCs/>
              </w:rPr>
            </w:pPr>
            <w:r w:rsidRPr="00376021">
              <w:rPr>
                <w:rFonts w:ascii="Arial" w:hAnsi="Arial" w:cs="Arial"/>
                <w:b/>
                <w:bCs/>
              </w:rPr>
              <w:t>Hot Spot Patrols</w:t>
            </w:r>
          </w:p>
          <w:p w:rsidRPr="00376021" w:rsidR="00304CAC" w:rsidRDefault="00304CAC" w14:paraId="5206F517" w14:textId="77777777">
            <w:pPr>
              <w:jc w:val="both"/>
              <w:rPr>
                <w:rFonts w:ascii="Arial" w:hAnsi="Arial" w:cs="Arial"/>
                <w:color w:val="101010"/>
                <w:shd w:val="clear" w:color="auto" w:fill="EBF2F9"/>
              </w:rPr>
            </w:pPr>
          </w:p>
        </w:tc>
      </w:tr>
      <w:tr w:rsidRPr="00376021" w:rsidR="00304CAC" w14:paraId="0BC84771" w14:textId="77777777">
        <w:tc>
          <w:tcPr>
            <w:tcW w:w="92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76021" w:rsidR="00304CAC" w:rsidRDefault="00304CAC" w14:paraId="3373A83F" w14:textId="42914C83">
            <w:pPr>
              <w:jc w:val="both"/>
              <w:rPr>
                <w:rFonts w:ascii="Arial" w:hAnsi="Arial" w:cs="Arial"/>
                <w:color w:val="FF0000"/>
              </w:rPr>
            </w:pPr>
          </w:p>
          <w:p w:rsidRPr="00376021" w:rsidR="008F707E" w:rsidRDefault="00E948FA" w14:paraId="5B311F85" w14:textId="1F46BF6A">
            <w:pPr>
              <w:jc w:val="both"/>
              <w:rPr>
                <w:rFonts w:ascii="Arial" w:hAnsi="Arial" w:cs="Arial"/>
                <w:b/>
                <w:bCs/>
                <w:u w:val="single"/>
              </w:rPr>
            </w:pPr>
            <w:r w:rsidRPr="00376021">
              <w:rPr>
                <w:rFonts w:ascii="Arial" w:hAnsi="Arial" w:cs="Arial"/>
                <w:b/>
                <w:bCs/>
                <w:u w:val="single"/>
              </w:rPr>
              <w:t>Nottinghamshire Overview</w:t>
            </w:r>
          </w:p>
          <w:p w:rsidRPr="00376021" w:rsidR="00304CAC" w:rsidRDefault="00304CAC" w14:paraId="770A4FBA" w14:textId="207F6E14">
            <w:pPr>
              <w:jc w:val="both"/>
              <w:rPr>
                <w:rFonts w:ascii="Arial" w:hAnsi="Arial" w:cs="Arial"/>
              </w:rPr>
            </w:pPr>
          </w:p>
          <w:p w:rsidRPr="00376021" w:rsidR="009C0C4E" w:rsidRDefault="00E948FA" w14:paraId="23120E28" w14:textId="62D84BF4">
            <w:pPr>
              <w:jc w:val="both"/>
              <w:rPr>
                <w:rFonts w:ascii="Arial" w:hAnsi="Arial" w:cs="Arial"/>
              </w:rPr>
            </w:pPr>
            <w:r w:rsidRPr="00376021">
              <w:rPr>
                <w:rFonts w:ascii="Arial" w:hAnsi="Arial" w:cs="Arial"/>
              </w:rPr>
              <w:t>Nottinghamshire Police acknowledge the legitimacy</w:t>
            </w:r>
            <w:r w:rsidRPr="00376021" w:rsidR="00AC15CE">
              <w:rPr>
                <w:rFonts w:ascii="Arial" w:hAnsi="Arial" w:cs="Arial"/>
              </w:rPr>
              <w:t xml:space="preserve"> of Hot Spot Patrolling</w:t>
            </w:r>
            <w:r w:rsidRPr="00376021">
              <w:rPr>
                <w:rFonts w:ascii="Arial" w:hAnsi="Arial" w:cs="Arial"/>
              </w:rPr>
              <w:t xml:space="preserve"> attributed through academic research (</w:t>
            </w:r>
            <w:r w:rsidRPr="00376021" w:rsidR="009C0C4E">
              <w:rPr>
                <w:rFonts w:ascii="Arial" w:hAnsi="Arial" w:cs="Arial"/>
              </w:rPr>
              <w:t>Weisburd, D, Koper, C.S &amp; Braga, A.A being the most prevalent academic authorities),</w:t>
            </w:r>
            <w:r w:rsidRPr="00376021">
              <w:rPr>
                <w:rFonts w:ascii="Arial" w:hAnsi="Arial" w:cs="Arial"/>
              </w:rPr>
              <w:t xml:space="preserve"> and</w:t>
            </w:r>
            <w:r w:rsidRPr="00376021" w:rsidR="009C0C4E">
              <w:rPr>
                <w:rFonts w:ascii="Arial" w:hAnsi="Arial" w:cs="Arial"/>
              </w:rPr>
              <w:t xml:space="preserve"> identifiable results through</w:t>
            </w:r>
            <w:r w:rsidRPr="00376021">
              <w:rPr>
                <w:rFonts w:ascii="Arial" w:hAnsi="Arial" w:cs="Arial"/>
              </w:rPr>
              <w:t xml:space="preserve"> application</w:t>
            </w:r>
            <w:r w:rsidRPr="00376021" w:rsidR="009C0C4E">
              <w:rPr>
                <w:rFonts w:ascii="Arial" w:hAnsi="Arial" w:cs="Arial"/>
              </w:rPr>
              <w:t>.</w:t>
            </w:r>
          </w:p>
          <w:p w:rsidRPr="00376021" w:rsidR="009C0C4E" w:rsidRDefault="009C0C4E" w14:paraId="183B35F9" w14:textId="77777777">
            <w:pPr>
              <w:jc w:val="both"/>
              <w:rPr>
                <w:rFonts w:ascii="Arial" w:hAnsi="Arial" w:cs="Arial"/>
              </w:rPr>
            </w:pPr>
          </w:p>
          <w:p w:rsidRPr="00376021" w:rsidR="00B84596" w:rsidRDefault="009C0C4E" w14:paraId="60918F7B" w14:textId="4E68ED1E">
            <w:pPr>
              <w:jc w:val="both"/>
              <w:rPr>
                <w:rFonts w:ascii="Arial" w:hAnsi="Arial" w:cs="Arial"/>
              </w:rPr>
            </w:pPr>
            <w:r w:rsidRPr="00376021">
              <w:rPr>
                <w:rFonts w:ascii="Arial" w:hAnsi="Arial" w:cs="Arial"/>
              </w:rPr>
              <w:t xml:space="preserve">The College of Policing identify that the impact of Hot Spot Policing has a high impact on crime and is most effective in reducing drug offending and Serious Acquisitive Crime (SAC) offending. The implementation of hot spot patrols is graded as “low” </w:t>
            </w:r>
            <w:proofErr w:type="gramStart"/>
            <w:r w:rsidRPr="00376021" w:rsidR="00841961">
              <w:rPr>
                <w:rFonts w:ascii="Arial" w:hAnsi="Arial" w:cs="Arial"/>
              </w:rPr>
              <w:t>in regard to</w:t>
            </w:r>
            <w:proofErr w:type="gramEnd"/>
            <w:r w:rsidRPr="00376021">
              <w:rPr>
                <w:rFonts w:ascii="Arial" w:hAnsi="Arial" w:cs="Arial"/>
              </w:rPr>
              <w:t xml:space="preserve"> organisational impact and economic impact. </w:t>
            </w:r>
          </w:p>
          <w:p w:rsidRPr="00376021" w:rsidR="00B84596" w:rsidP="00CD4C74" w:rsidRDefault="00B84596" w14:paraId="159FA31F" w14:textId="77777777">
            <w:pPr>
              <w:jc w:val="both"/>
              <w:rPr>
                <w:rFonts w:ascii="Arial" w:hAnsi="Arial" w:cs="Arial"/>
              </w:rPr>
            </w:pPr>
          </w:p>
          <w:p w:rsidRPr="00376021" w:rsidR="00E948FA" w:rsidP="00CD4C74" w:rsidRDefault="00B84596" w14:paraId="53AEAD89" w14:textId="42778796">
            <w:pPr>
              <w:jc w:val="both"/>
              <w:rPr>
                <w:rFonts w:ascii="Arial" w:hAnsi="Arial" w:cs="Arial"/>
              </w:rPr>
            </w:pPr>
            <w:r w:rsidRPr="00376021">
              <w:rPr>
                <w:rFonts w:ascii="Arial" w:hAnsi="Arial" w:cs="Arial"/>
              </w:rPr>
              <w:t>In Nottinghamshire Police</w:t>
            </w:r>
            <w:r w:rsidRPr="00376021" w:rsidR="00841961">
              <w:rPr>
                <w:rFonts w:ascii="Arial" w:hAnsi="Arial" w:cs="Arial"/>
              </w:rPr>
              <w:t>, Hot Spot Patrols are managed in 2 ways:</w:t>
            </w:r>
          </w:p>
          <w:p w:rsidRPr="00376021" w:rsidR="00841961" w:rsidP="00CD4C74" w:rsidRDefault="00841961" w14:paraId="01B4333D" w14:textId="196D497F">
            <w:pPr>
              <w:pStyle w:val="ListParagraph"/>
              <w:numPr>
                <w:ilvl w:val="0"/>
                <w:numId w:val="1"/>
              </w:numPr>
              <w:jc w:val="both"/>
              <w:rPr>
                <w:rFonts w:ascii="Arial" w:hAnsi="Arial" w:cs="Arial"/>
              </w:rPr>
            </w:pPr>
            <w:r w:rsidRPr="00376021">
              <w:rPr>
                <w:rFonts w:ascii="Arial" w:hAnsi="Arial" w:cs="Arial"/>
              </w:rPr>
              <w:t>Local Area Manage</w:t>
            </w:r>
            <w:r w:rsidRPr="00376021" w:rsidR="00363542">
              <w:rPr>
                <w:rFonts w:ascii="Arial" w:hAnsi="Arial" w:cs="Arial"/>
              </w:rPr>
              <w:t>d</w:t>
            </w:r>
          </w:p>
          <w:p w:rsidRPr="00376021" w:rsidR="00841961" w:rsidP="00CD4C74" w:rsidRDefault="00841961" w14:paraId="411ED010" w14:textId="03300C73">
            <w:pPr>
              <w:pStyle w:val="ListParagraph"/>
              <w:numPr>
                <w:ilvl w:val="0"/>
                <w:numId w:val="1"/>
              </w:numPr>
              <w:jc w:val="both"/>
              <w:rPr>
                <w:rFonts w:ascii="Arial" w:hAnsi="Arial" w:cs="Arial"/>
              </w:rPr>
            </w:pPr>
            <w:r w:rsidRPr="00376021">
              <w:rPr>
                <w:rFonts w:ascii="Arial" w:hAnsi="Arial" w:cs="Arial"/>
              </w:rPr>
              <w:t>Grip Funded Patrols</w:t>
            </w:r>
          </w:p>
          <w:p w:rsidRPr="00376021" w:rsidR="00363542" w:rsidP="00CD4C74" w:rsidRDefault="00363542" w14:paraId="655A3A9E" w14:textId="77777777">
            <w:pPr>
              <w:pStyle w:val="ListParagraph"/>
              <w:jc w:val="both"/>
              <w:rPr>
                <w:rFonts w:ascii="Arial" w:hAnsi="Arial" w:cs="Arial"/>
              </w:rPr>
            </w:pPr>
          </w:p>
          <w:p w:rsidRPr="00376021" w:rsidR="00841961" w:rsidP="00CD4C74" w:rsidRDefault="00841961" w14:paraId="60C56AB1" w14:textId="398CA862">
            <w:pPr>
              <w:jc w:val="both"/>
              <w:rPr>
                <w:rFonts w:ascii="Arial" w:hAnsi="Arial" w:cs="Arial"/>
              </w:rPr>
            </w:pPr>
          </w:p>
          <w:p w:rsidRPr="00376021" w:rsidR="00363542" w:rsidP="00CD4C74" w:rsidRDefault="00841961" w14:paraId="250460FE" w14:textId="59EA49F9">
            <w:pPr>
              <w:jc w:val="both"/>
              <w:rPr>
                <w:rFonts w:ascii="Arial" w:hAnsi="Arial" w:cs="Arial"/>
                <w:b/>
                <w:bCs/>
                <w:u w:val="single"/>
              </w:rPr>
            </w:pPr>
            <w:r w:rsidRPr="00376021">
              <w:rPr>
                <w:rFonts w:ascii="Arial" w:hAnsi="Arial" w:cs="Arial"/>
                <w:b/>
                <w:bCs/>
                <w:u w:val="single"/>
              </w:rPr>
              <w:t>Local Area Manage</w:t>
            </w:r>
            <w:r w:rsidRPr="00376021" w:rsidR="00363542">
              <w:rPr>
                <w:rFonts w:ascii="Arial" w:hAnsi="Arial" w:cs="Arial"/>
                <w:b/>
                <w:bCs/>
                <w:u w:val="single"/>
              </w:rPr>
              <w:t>d</w:t>
            </w:r>
          </w:p>
          <w:p w:rsidRPr="00376021" w:rsidR="00363542" w:rsidP="00CD4C74" w:rsidRDefault="00363542" w14:paraId="0C24B0A6" w14:textId="5187AAFF">
            <w:pPr>
              <w:jc w:val="both"/>
              <w:rPr>
                <w:rFonts w:ascii="Arial" w:hAnsi="Arial" w:cs="Arial"/>
                <w:u w:val="single"/>
              </w:rPr>
            </w:pPr>
          </w:p>
          <w:p w:rsidRPr="00376021" w:rsidR="00363542" w:rsidP="00CD4C74" w:rsidRDefault="00363542" w14:paraId="5CB7E32F" w14:textId="5331F15D">
            <w:pPr>
              <w:jc w:val="both"/>
              <w:rPr>
                <w:rFonts w:ascii="Arial" w:hAnsi="Arial" w:cs="Arial"/>
              </w:rPr>
            </w:pPr>
            <w:r w:rsidRPr="00376021">
              <w:rPr>
                <w:rFonts w:ascii="Arial" w:hAnsi="Arial" w:cs="Arial"/>
              </w:rPr>
              <w:t>Hot Spot Patrols are</w:t>
            </w:r>
            <w:r w:rsidRPr="00376021" w:rsidR="00014F87">
              <w:rPr>
                <w:rFonts w:ascii="Arial" w:hAnsi="Arial" w:cs="Arial"/>
              </w:rPr>
              <w:t xml:space="preserve"> </w:t>
            </w:r>
            <w:proofErr w:type="gramStart"/>
            <w:r w:rsidRPr="00376021" w:rsidR="00014F87">
              <w:rPr>
                <w:rFonts w:ascii="Arial" w:hAnsi="Arial" w:cs="Arial"/>
              </w:rPr>
              <w:t>most commonly identified</w:t>
            </w:r>
            <w:proofErr w:type="gramEnd"/>
            <w:r w:rsidRPr="00376021" w:rsidR="00014F87">
              <w:rPr>
                <w:rFonts w:ascii="Arial" w:hAnsi="Arial" w:cs="Arial"/>
              </w:rPr>
              <w:t xml:space="preserve"> as being </w:t>
            </w:r>
            <w:r w:rsidRPr="00376021" w:rsidR="00D22B77">
              <w:rPr>
                <w:rFonts w:ascii="Arial" w:hAnsi="Arial" w:cs="Arial"/>
              </w:rPr>
              <w:t>required</w:t>
            </w:r>
            <w:r w:rsidRPr="00376021" w:rsidR="007F41B1">
              <w:rPr>
                <w:rFonts w:ascii="Arial" w:hAnsi="Arial" w:cs="Arial"/>
              </w:rPr>
              <w:t xml:space="preserve"> by local </w:t>
            </w:r>
            <w:r w:rsidRPr="00376021" w:rsidR="000D5931">
              <w:rPr>
                <w:rFonts w:ascii="Arial" w:hAnsi="Arial" w:cs="Arial"/>
              </w:rPr>
              <w:t>Neighbourhood</w:t>
            </w:r>
            <w:r w:rsidRPr="00376021" w:rsidR="007F41B1">
              <w:rPr>
                <w:rFonts w:ascii="Arial" w:hAnsi="Arial" w:cs="Arial"/>
              </w:rPr>
              <w:t xml:space="preserve"> Policing Team (NPT) </w:t>
            </w:r>
            <w:r w:rsidRPr="00376021" w:rsidR="000D5931">
              <w:rPr>
                <w:rFonts w:ascii="Arial" w:hAnsi="Arial" w:cs="Arial"/>
              </w:rPr>
              <w:t>staff and supervisors. This is done</w:t>
            </w:r>
            <w:r w:rsidRPr="00376021" w:rsidR="00014F87">
              <w:rPr>
                <w:rFonts w:ascii="Arial" w:hAnsi="Arial" w:cs="Arial"/>
              </w:rPr>
              <w:t xml:space="preserve"> through </w:t>
            </w:r>
            <w:r w:rsidRPr="00376021" w:rsidR="00E03C5C">
              <w:rPr>
                <w:rFonts w:ascii="Arial" w:hAnsi="Arial" w:cs="Arial"/>
              </w:rPr>
              <w:t xml:space="preserve">monitoring crime trends </w:t>
            </w:r>
            <w:r w:rsidRPr="00376021" w:rsidR="000D5931">
              <w:rPr>
                <w:rFonts w:ascii="Arial" w:hAnsi="Arial" w:cs="Arial"/>
              </w:rPr>
              <w:t>either by:</w:t>
            </w:r>
          </w:p>
          <w:p w:rsidRPr="00376021" w:rsidR="000D5931" w:rsidP="00CD4C74" w:rsidRDefault="000D5931" w14:paraId="3E056C81" w14:textId="10567B81">
            <w:pPr>
              <w:pStyle w:val="ListParagraph"/>
              <w:numPr>
                <w:ilvl w:val="0"/>
                <w:numId w:val="5"/>
              </w:numPr>
              <w:jc w:val="both"/>
              <w:rPr>
                <w:rFonts w:ascii="Arial" w:hAnsi="Arial" w:cs="Arial"/>
              </w:rPr>
            </w:pPr>
            <w:r w:rsidRPr="00376021">
              <w:rPr>
                <w:rFonts w:ascii="Arial" w:hAnsi="Arial" w:cs="Arial"/>
              </w:rPr>
              <w:t xml:space="preserve">Police </w:t>
            </w:r>
            <w:r w:rsidRPr="00376021" w:rsidR="00F72EF0">
              <w:rPr>
                <w:rFonts w:ascii="Arial" w:hAnsi="Arial" w:cs="Arial"/>
              </w:rPr>
              <w:t>s</w:t>
            </w:r>
            <w:r w:rsidRPr="00376021">
              <w:rPr>
                <w:rFonts w:ascii="Arial" w:hAnsi="Arial" w:cs="Arial"/>
              </w:rPr>
              <w:t xml:space="preserve">ystem </w:t>
            </w:r>
            <w:r w:rsidRPr="00376021" w:rsidR="00F72EF0">
              <w:rPr>
                <w:rFonts w:ascii="Arial" w:hAnsi="Arial" w:cs="Arial"/>
              </w:rPr>
              <w:t>i</w:t>
            </w:r>
            <w:r w:rsidRPr="00376021">
              <w:rPr>
                <w:rFonts w:ascii="Arial" w:hAnsi="Arial" w:cs="Arial"/>
              </w:rPr>
              <w:t>nterrogation</w:t>
            </w:r>
            <w:r w:rsidRPr="00376021" w:rsidR="00F72EF0">
              <w:rPr>
                <w:rFonts w:ascii="Arial" w:hAnsi="Arial" w:cs="Arial"/>
              </w:rPr>
              <w:t xml:space="preserve"> and self-analysis</w:t>
            </w:r>
          </w:p>
          <w:p w:rsidRPr="00376021" w:rsidR="000D5931" w:rsidP="00CD4C74" w:rsidRDefault="00664895" w14:paraId="5CF51D64" w14:textId="4BC8AF7F">
            <w:pPr>
              <w:pStyle w:val="ListParagraph"/>
              <w:numPr>
                <w:ilvl w:val="0"/>
                <w:numId w:val="5"/>
              </w:numPr>
              <w:jc w:val="both"/>
              <w:rPr>
                <w:rFonts w:ascii="Arial" w:hAnsi="Arial" w:cs="Arial"/>
              </w:rPr>
            </w:pPr>
            <w:r w:rsidRPr="00376021">
              <w:rPr>
                <w:rFonts w:ascii="Arial" w:hAnsi="Arial" w:cs="Arial"/>
              </w:rPr>
              <w:t xml:space="preserve">Identification of recurring themes/offenders </w:t>
            </w:r>
            <w:r w:rsidRPr="00376021" w:rsidR="006073B9">
              <w:rPr>
                <w:rFonts w:ascii="Arial" w:hAnsi="Arial" w:cs="Arial"/>
              </w:rPr>
              <w:t>through daily activity</w:t>
            </w:r>
          </w:p>
          <w:p w:rsidRPr="00376021" w:rsidR="000F0318" w:rsidP="00CD4C74" w:rsidRDefault="003D66B1" w14:paraId="6D01859C" w14:textId="2A30016A">
            <w:pPr>
              <w:pStyle w:val="ListParagraph"/>
              <w:numPr>
                <w:ilvl w:val="0"/>
                <w:numId w:val="5"/>
              </w:numPr>
              <w:jc w:val="both"/>
              <w:rPr>
                <w:rFonts w:ascii="Arial" w:hAnsi="Arial" w:cs="Arial"/>
              </w:rPr>
            </w:pPr>
            <w:r w:rsidRPr="00376021">
              <w:rPr>
                <w:rFonts w:ascii="Arial" w:hAnsi="Arial" w:cs="Arial"/>
              </w:rPr>
              <w:t xml:space="preserve">Fortnightly </w:t>
            </w:r>
            <w:r w:rsidRPr="00376021" w:rsidR="000F0318">
              <w:rPr>
                <w:rFonts w:ascii="Arial" w:hAnsi="Arial" w:cs="Arial"/>
              </w:rPr>
              <w:t xml:space="preserve">Local Operations </w:t>
            </w:r>
            <w:r w:rsidRPr="00376021">
              <w:rPr>
                <w:rFonts w:ascii="Arial" w:hAnsi="Arial" w:cs="Arial"/>
              </w:rPr>
              <w:t>Meetings</w:t>
            </w:r>
            <w:r w:rsidRPr="00376021" w:rsidR="000F0318">
              <w:rPr>
                <w:rFonts w:ascii="Arial" w:hAnsi="Arial" w:cs="Arial"/>
              </w:rPr>
              <w:t xml:space="preserve"> (LOM) </w:t>
            </w:r>
          </w:p>
          <w:p w:rsidRPr="00376021" w:rsidR="00531FCE" w:rsidP="00CD4C74" w:rsidRDefault="00531FCE" w14:paraId="0EB3068B" w14:textId="626012F9">
            <w:pPr>
              <w:pStyle w:val="ListParagraph"/>
              <w:numPr>
                <w:ilvl w:val="0"/>
                <w:numId w:val="5"/>
              </w:numPr>
              <w:jc w:val="both"/>
              <w:rPr>
                <w:rFonts w:ascii="Arial" w:hAnsi="Arial" w:cs="Arial"/>
              </w:rPr>
            </w:pPr>
            <w:r w:rsidRPr="00376021">
              <w:rPr>
                <w:rFonts w:ascii="Arial" w:hAnsi="Arial" w:cs="Arial"/>
              </w:rPr>
              <w:t>Community/Partner reporting</w:t>
            </w:r>
          </w:p>
          <w:p w:rsidRPr="00376021" w:rsidR="007A2BF9" w:rsidP="00CD4C74" w:rsidRDefault="007A2BF9" w14:paraId="5AFE0869" w14:textId="50644F61">
            <w:pPr>
              <w:pStyle w:val="ListParagraph"/>
              <w:numPr>
                <w:ilvl w:val="0"/>
                <w:numId w:val="5"/>
              </w:numPr>
              <w:jc w:val="both"/>
              <w:rPr>
                <w:rFonts w:ascii="Arial" w:hAnsi="Arial" w:cs="Arial"/>
              </w:rPr>
            </w:pPr>
            <w:r w:rsidRPr="00376021">
              <w:rPr>
                <w:rFonts w:ascii="Arial" w:hAnsi="Arial" w:cs="Arial"/>
              </w:rPr>
              <w:t xml:space="preserve">Strategic analytical documents </w:t>
            </w:r>
          </w:p>
          <w:p w:rsidRPr="00376021" w:rsidR="006073B9" w:rsidP="00CD4C74" w:rsidRDefault="007A2BF9" w14:paraId="2B8B5F67" w14:textId="63D79320">
            <w:pPr>
              <w:pStyle w:val="ListParagraph"/>
              <w:numPr>
                <w:ilvl w:val="0"/>
                <w:numId w:val="5"/>
              </w:numPr>
              <w:jc w:val="both"/>
              <w:rPr>
                <w:rFonts w:ascii="Arial" w:hAnsi="Arial" w:cs="Arial"/>
              </w:rPr>
            </w:pPr>
            <w:r w:rsidRPr="00376021">
              <w:rPr>
                <w:rFonts w:ascii="Arial" w:hAnsi="Arial" w:cs="Arial"/>
              </w:rPr>
              <w:t>Commissioning of analytical products</w:t>
            </w:r>
          </w:p>
          <w:p w:rsidRPr="00376021" w:rsidR="003D66B1" w:rsidP="00CD4C74" w:rsidRDefault="003D66B1" w14:paraId="60341EF8" w14:textId="69E15617">
            <w:pPr>
              <w:jc w:val="both"/>
              <w:rPr>
                <w:rFonts w:ascii="Arial" w:hAnsi="Arial" w:cs="Arial"/>
              </w:rPr>
            </w:pPr>
          </w:p>
          <w:p w:rsidRPr="00376021" w:rsidR="003D66B1" w:rsidP="00CD4C74" w:rsidRDefault="003D66B1" w14:paraId="04B0A40C" w14:textId="340C1327">
            <w:pPr>
              <w:jc w:val="both"/>
              <w:rPr>
                <w:rFonts w:ascii="Arial" w:hAnsi="Arial" w:cs="Arial"/>
              </w:rPr>
            </w:pPr>
            <w:r w:rsidRPr="00376021">
              <w:rPr>
                <w:rFonts w:ascii="Arial" w:hAnsi="Arial" w:cs="Arial"/>
              </w:rPr>
              <w:t xml:space="preserve">As a result of </w:t>
            </w:r>
            <w:r w:rsidRPr="00376021" w:rsidR="00531FCE">
              <w:rPr>
                <w:rFonts w:ascii="Arial" w:hAnsi="Arial" w:cs="Arial"/>
              </w:rPr>
              <w:t xml:space="preserve">the above activities the local areas implement a patrol strategy </w:t>
            </w:r>
            <w:r w:rsidRPr="00376021" w:rsidR="00220E4C">
              <w:rPr>
                <w:rFonts w:ascii="Arial" w:hAnsi="Arial" w:cs="Arial"/>
              </w:rPr>
              <w:t xml:space="preserve">for NPT staff and a task is placed on the Briefing and Tasking System (BATS), the use of BATS ensures that the </w:t>
            </w:r>
            <w:r w:rsidRPr="00376021" w:rsidR="00FA3A44">
              <w:rPr>
                <w:rFonts w:ascii="Arial" w:hAnsi="Arial" w:cs="Arial"/>
              </w:rPr>
              <w:t xml:space="preserve">identified patrol area is distributed to a wider audience. Traditionally additional patrols are conducted by Response and these patrols logged on the BATS task. </w:t>
            </w:r>
          </w:p>
          <w:p w:rsidRPr="00376021" w:rsidR="00D705EC" w:rsidP="00CD4C74" w:rsidRDefault="00D705EC" w14:paraId="3F61EA63" w14:textId="2A69ADC2">
            <w:pPr>
              <w:jc w:val="both"/>
              <w:rPr>
                <w:rFonts w:ascii="Arial" w:hAnsi="Arial" w:cs="Arial"/>
              </w:rPr>
            </w:pPr>
          </w:p>
          <w:p w:rsidRPr="00376021" w:rsidR="00D705EC" w:rsidP="00CD4C74" w:rsidRDefault="00D705EC" w14:paraId="333BC47E" w14:textId="5C2842B1">
            <w:pPr>
              <w:jc w:val="both"/>
              <w:rPr>
                <w:rFonts w:ascii="Arial" w:hAnsi="Arial" w:cs="Arial"/>
                <w:b/>
                <w:bCs/>
                <w:u w:val="single"/>
              </w:rPr>
            </w:pPr>
            <w:r w:rsidRPr="00376021">
              <w:rPr>
                <w:rFonts w:ascii="Arial" w:hAnsi="Arial" w:cs="Arial"/>
                <w:b/>
                <w:bCs/>
                <w:u w:val="single"/>
              </w:rPr>
              <w:t>Grip Funded Patrols</w:t>
            </w:r>
          </w:p>
          <w:p w:rsidRPr="00376021" w:rsidR="00D705EC" w:rsidP="00CD4C74" w:rsidRDefault="00D705EC" w14:paraId="0F936A1A" w14:textId="255A2D35">
            <w:pPr>
              <w:jc w:val="both"/>
              <w:rPr>
                <w:rFonts w:ascii="Arial" w:hAnsi="Arial" w:cs="Arial"/>
                <w:u w:val="single"/>
              </w:rPr>
            </w:pPr>
          </w:p>
          <w:p w:rsidRPr="00376021" w:rsidR="00D322DD" w:rsidP="00CD4C74" w:rsidRDefault="00D322DD" w14:paraId="5FD34A49" w14:textId="462C194D">
            <w:pPr>
              <w:jc w:val="both"/>
              <w:rPr>
                <w:rFonts w:ascii="Arial" w:hAnsi="Arial" w:cs="Arial"/>
              </w:rPr>
            </w:pPr>
            <w:r w:rsidRPr="00376021">
              <w:rPr>
                <w:rFonts w:ascii="Arial" w:hAnsi="Arial" w:cs="Arial"/>
              </w:rPr>
              <w:t>In 2021 Op Grip replaced funding streams such as SURGE and SCORPION for Violence Reduction Unit (VRU) supported areas and was previously an annual funding process</w:t>
            </w:r>
            <w:r w:rsidRPr="00376021" w:rsidR="00A518E4">
              <w:rPr>
                <w:rFonts w:ascii="Arial" w:hAnsi="Arial" w:cs="Arial"/>
              </w:rPr>
              <w:t>;</w:t>
            </w:r>
            <w:r w:rsidRPr="00376021">
              <w:rPr>
                <w:rFonts w:ascii="Arial" w:hAnsi="Arial" w:cs="Arial"/>
              </w:rPr>
              <w:t xml:space="preserve"> but is now a multiyear process with Nottinghamshire receiving funding through to 2025. The funding consists of 24 hours per week per Grip area</w:t>
            </w:r>
            <w:r w:rsidRPr="00376021" w:rsidR="00A518E4">
              <w:rPr>
                <w:rFonts w:ascii="Arial" w:hAnsi="Arial" w:cs="Arial"/>
              </w:rPr>
              <w:t xml:space="preserve"> (15 total)</w:t>
            </w:r>
            <w:r w:rsidRPr="00376021">
              <w:rPr>
                <w:rFonts w:ascii="Arial" w:hAnsi="Arial" w:cs="Arial"/>
              </w:rPr>
              <w:t xml:space="preserve"> of High Visibility Patrols and 390 hours per month for the force to support Problem Orientated Policing initiatives.</w:t>
            </w:r>
          </w:p>
          <w:p w:rsidRPr="00376021" w:rsidR="00D322DD" w:rsidP="00CD4C74" w:rsidRDefault="00D322DD" w14:paraId="47D5C516" w14:textId="77777777">
            <w:pPr>
              <w:jc w:val="both"/>
              <w:rPr>
                <w:rFonts w:ascii="Arial" w:hAnsi="Arial" w:cs="Arial"/>
              </w:rPr>
            </w:pPr>
            <w:r w:rsidRPr="00376021">
              <w:rPr>
                <w:rFonts w:ascii="Arial" w:hAnsi="Arial" w:cs="Arial"/>
              </w:rPr>
              <w:t xml:space="preserve">Op Grip is a tailored response to areas effected by serious violence, with increased high visibility patrol, greater problem-solving activity and the production of analytical products to support this. </w:t>
            </w:r>
          </w:p>
          <w:p w:rsidRPr="00376021" w:rsidR="00D322DD" w:rsidP="00CD4C74" w:rsidRDefault="00D322DD" w14:paraId="6EF6AC6A" w14:textId="77777777">
            <w:pPr>
              <w:jc w:val="both"/>
              <w:rPr>
                <w:rFonts w:ascii="Arial" w:hAnsi="Arial" w:cs="Arial"/>
              </w:rPr>
            </w:pPr>
            <w:r w:rsidRPr="00376021">
              <w:rPr>
                <w:rFonts w:ascii="Arial" w:hAnsi="Arial" w:cs="Arial"/>
              </w:rPr>
              <w:t xml:space="preserve">OP Grip is rooted in Evidence Based Policing (EBP) and supports initiatives around Problem Orientated Policing (POP), by utilising current and specific data the force </w:t>
            </w:r>
            <w:proofErr w:type="gramStart"/>
            <w:r w:rsidRPr="00376021">
              <w:rPr>
                <w:rFonts w:ascii="Arial" w:hAnsi="Arial" w:cs="Arial"/>
              </w:rPr>
              <w:t>is able to</w:t>
            </w:r>
            <w:proofErr w:type="gramEnd"/>
            <w:r w:rsidRPr="00376021">
              <w:rPr>
                <w:rFonts w:ascii="Arial" w:hAnsi="Arial" w:cs="Arial"/>
              </w:rPr>
              <w:t xml:space="preserve"> produce analytical data that highlights areas where there is the highest likelihood of harm both in city and county divisions. </w:t>
            </w:r>
          </w:p>
          <w:p w:rsidRPr="00376021" w:rsidR="00D322DD" w:rsidP="00CD4C74" w:rsidRDefault="00D322DD" w14:paraId="08414D08" w14:textId="17CBC6AF">
            <w:pPr>
              <w:jc w:val="both"/>
              <w:rPr>
                <w:rFonts w:ascii="Arial" w:hAnsi="Arial" w:cs="Arial"/>
              </w:rPr>
            </w:pPr>
            <w:r w:rsidRPr="00376021">
              <w:rPr>
                <w:rFonts w:ascii="Arial" w:hAnsi="Arial" w:cs="Arial"/>
              </w:rPr>
              <w:t xml:space="preserve">Our analytical expert considers data from the last 12 months factoring in serious violence crime data and the Cambridge Crime Harm Index (CCHI).  This is used to identify the 30 beat areas most effected by serious violence. Of these 30 beat areas 15 are selected to receive the higher levels of high visibility patrols (Op Grip dedicated protected patrols) while the </w:t>
            </w:r>
            <w:r w:rsidR="00CD4C74">
              <w:rPr>
                <w:rFonts w:ascii="Arial" w:hAnsi="Arial" w:cs="Arial"/>
              </w:rPr>
              <w:t xml:space="preserve">         </w:t>
            </w:r>
            <w:r w:rsidRPr="00376021">
              <w:rPr>
                <w:rFonts w:ascii="Arial" w:hAnsi="Arial" w:cs="Arial"/>
              </w:rPr>
              <w:t xml:space="preserve">de-selected 15 beat areas are monitored as a control group (Business </w:t>
            </w:r>
            <w:proofErr w:type="gramStart"/>
            <w:r w:rsidRPr="00376021">
              <w:rPr>
                <w:rFonts w:ascii="Arial" w:hAnsi="Arial" w:cs="Arial"/>
              </w:rPr>
              <w:t>As</w:t>
            </w:r>
            <w:proofErr w:type="gramEnd"/>
            <w:r w:rsidRPr="00376021">
              <w:rPr>
                <w:rFonts w:ascii="Arial" w:hAnsi="Arial" w:cs="Arial"/>
              </w:rPr>
              <w:t xml:space="preserve"> Usual Patrols). This process takes place quarterly and the areas may change each quarter or remain in place dependent on the analytics. </w:t>
            </w:r>
          </w:p>
          <w:p w:rsidRPr="00376021" w:rsidR="00D322DD" w:rsidP="00CD4C74" w:rsidRDefault="00D322DD" w14:paraId="4C34DC62" w14:textId="1710C98A">
            <w:pPr>
              <w:jc w:val="both"/>
              <w:rPr>
                <w:rFonts w:ascii="Arial" w:hAnsi="Arial" w:cs="Arial"/>
              </w:rPr>
            </w:pPr>
            <w:r w:rsidRPr="00376021">
              <w:rPr>
                <w:rFonts w:ascii="Arial" w:hAnsi="Arial" w:cs="Arial"/>
              </w:rPr>
              <w:t xml:space="preserve">Through Home Office, College of Policing and Academic Study the hotspot policing plan for </w:t>
            </w:r>
            <w:r w:rsidRPr="00376021" w:rsidR="004974B3">
              <w:rPr>
                <w:rFonts w:ascii="Arial" w:hAnsi="Arial" w:cs="Arial"/>
              </w:rPr>
              <w:t>OP</w:t>
            </w:r>
            <w:r w:rsidRPr="00376021">
              <w:rPr>
                <w:rFonts w:ascii="Arial" w:hAnsi="Arial" w:cs="Arial"/>
              </w:rPr>
              <w:t xml:space="preserve"> </w:t>
            </w:r>
            <w:r w:rsidRPr="00376021" w:rsidR="004974B3">
              <w:rPr>
                <w:rFonts w:ascii="Arial" w:hAnsi="Arial" w:cs="Arial"/>
              </w:rPr>
              <w:t>G</w:t>
            </w:r>
            <w:r w:rsidRPr="00376021">
              <w:rPr>
                <w:rFonts w:ascii="Arial" w:hAnsi="Arial" w:cs="Arial"/>
              </w:rPr>
              <w:t>rip should consist of the following:</w:t>
            </w:r>
          </w:p>
          <w:p w:rsidRPr="00376021" w:rsidR="00D322DD" w:rsidP="00CD4C74" w:rsidRDefault="00D322DD" w14:paraId="22F78973" w14:textId="77777777">
            <w:pPr>
              <w:pStyle w:val="ListParagraph"/>
              <w:numPr>
                <w:ilvl w:val="0"/>
                <w:numId w:val="3"/>
              </w:numPr>
              <w:autoSpaceDN/>
              <w:spacing w:after="160" w:line="259" w:lineRule="auto"/>
              <w:contextualSpacing/>
              <w:jc w:val="both"/>
              <w:rPr>
                <w:rFonts w:ascii="Arial" w:hAnsi="Arial" w:cs="Arial"/>
              </w:rPr>
            </w:pPr>
            <w:r w:rsidRPr="00376021">
              <w:rPr>
                <w:rFonts w:ascii="Arial" w:hAnsi="Arial" w:cs="Arial"/>
              </w:rPr>
              <w:t>24hours (total staffing hours) of patrols per week per Grip area</w:t>
            </w:r>
          </w:p>
          <w:p w:rsidRPr="00376021" w:rsidR="00D322DD" w:rsidP="00CD4C74" w:rsidRDefault="00D322DD" w14:paraId="0D60BF32" w14:textId="77777777">
            <w:pPr>
              <w:pStyle w:val="ListParagraph"/>
              <w:numPr>
                <w:ilvl w:val="0"/>
                <w:numId w:val="3"/>
              </w:numPr>
              <w:autoSpaceDN/>
              <w:spacing w:after="160" w:line="259" w:lineRule="auto"/>
              <w:contextualSpacing/>
              <w:jc w:val="both"/>
              <w:rPr>
                <w:rFonts w:ascii="Arial" w:hAnsi="Arial" w:cs="Arial"/>
              </w:rPr>
            </w:pPr>
            <w:r w:rsidRPr="00376021">
              <w:rPr>
                <w:rFonts w:ascii="Arial" w:hAnsi="Arial" w:cs="Arial"/>
              </w:rPr>
              <w:t>Over 3 consecutive days</w:t>
            </w:r>
          </w:p>
          <w:p w:rsidRPr="00376021" w:rsidR="00D322DD" w:rsidP="00CD4C74" w:rsidRDefault="00D322DD" w14:paraId="5393A067" w14:textId="77777777">
            <w:pPr>
              <w:pStyle w:val="ListParagraph"/>
              <w:numPr>
                <w:ilvl w:val="0"/>
                <w:numId w:val="3"/>
              </w:numPr>
              <w:autoSpaceDN/>
              <w:spacing w:after="160" w:line="259" w:lineRule="auto"/>
              <w:contextualSpacing/>
              <w:jc w:val="both"/>
              <w:rPr>
                <w:rFonts w:ascii="Arial" w:hAnsi="Arial" w:cs="Arial"/>
              </w:rPr>
            </w:pPr>
            <w:r w:rsidRPr="00376021">
              <w:rPr>
                <w:rFonts w:ascii="Arial" w:hAnsi="Arial" w:cs="Arial"/>
              </w:rPr>
              <w:t xml:space="preserve">No increase in patrols over the subsequent 4 days </w:t>
            </w:r>
          </w:p>
          <w:p w:rsidRPr="00376021" w:rsidR="00D322DD" w:rsidP="00CD4C74" w:rsidRDefault="00D322DD" w14:paraId="617D74F2" w14:textId="77777777">
            <w:pPr>
              <w:pStyle w:val="ListParagraph"/>
              <w:numPr>
                <w:ilvl w:val="0"/>
                <w:numId w:val="3"/>
              </w:numPr>
              <w:autoSpaceDN/>
              <w:spacing w:after="160" w:line="259" w:lineRule="auto"/>
              <w:contextualSpacing/>
              <w:jc w:val="both"/>
              <w:rPr>
                <w:rFonts w:ascii="Arial" w:hAnsi="Arial" w:cs="Arial"/>
              </w:rPr>
            </w:pPr>
            <w:r w:rsidRPr="00376021">
              <w:rPr>
                <w:rFonts w:ascii="Arial" w:hAnsi="Arial" w:cs="Arial"/>
              </w:rPr>
              <w:t>The 3 days of patrolling should not be repeated weekly</w:t>
            </w:r>
          </w:p>
          <w:p w:rsidRPr="00376021" w:rsidR="00D322DD" w:rsidP="00CD4C74" w:rsidRDefault="00D322DD" w14:paraId="24FC467A" w14:textId="77777777">
            <w:pPr>
              <w:jc w:val="both"/>
              <w:rPr>
                <w:rFonts w:ascii="Arial" w:hAnsi="Arial" w:cs="Arial"/>
              </w:rPr>
            </w:pPr>
            <w:r w:rsidRPr="00376021">
              <w:rPr>
                <w:rFonts w:ascii="Arial" w:hAnsi="Arial" w:cs="Arial"/>
              </w:rPr>
              <w:t>The evidence behind this shows that 3 consecutive days of intensive high visibility patrolling in an area casts a “Policing Shadow” over the subsequent days where there is a standard Policing presence. This is shown to have the effect of deterring crime by providing a perception that the area has a heavy Police presence or could have at any point.</w:t>
            </w:r>
          </w:p>
          <w:p w:rsidRPr="00376021" w:rsidR="00D322DD" w:rsidP="00CD4C74" w:rsidRDefault="00D322DD" w14:paraId="7D2872A2" w14:textId="77777777">
            <w:pPr>
              <w:jc w:val="both"/>
              <w:rPr>
                <w:rFonts w:ascii="Arial" w:hAnsi="Arial" w:cs="Arial"/>
                <w:b/>
                <w:bCs/>
                <w:u w:val="single"/>
              </w:rPr>
            </w:pPr>
          </w:p>
          <w:p w:rsidRPr="00376021" w:rsidR="00D322DD" w:rsidP="00CD4C74" w:rsidRDefault="00D322DD" w14:paraId="13C2B986" w14:textId="77777777">
            <w:pPr>
              <w:jc w:val="both"/>
              <w:rPr>
                <w:rFonts w:ascii="Arial" w:hAnsi="Arial" w:cs="Arial"/>
                <w:u w:val="single"/>
              </w:rPr>
            </w:pPr>
            <w:r w:rsidRPr="00376021">
              <w:rPr>
                <w:rFonts w:ascii="Arial" w:hAnsi="Arial" w:cs="Arial"/>
                <w:u w:val="single"/>
              </w:rPr>
              <w:t xml:space="preserve">Op Grip in Practice </w:t>
            </w:r>
          </w:p>
          <w:p w:rsidRPr="00376021" w:rsidR="00D322DD" w:rsidP="00CD4C74" w:rsidRDefault="00D322DD" w14:paraId="30540925" w14:textId="77777777">
            <w:pPr>
              <w:jc w:val="both"/>
              <w:rPr>
                <w:rFonts w:ascii="Arial" w:hAnsi="Arial" w:cs="Arial"/>
                <w:u w:val="single"/>
              </w:rPr>
            </w:pPr>
            <w:r w:rsidRPr="00376021">
              <w:rPr>
                <w:rFonts w:ascii="Arial" w:hAnsi="Arial" w:cs="Arial"/>
                <w:u w:val="single"/>
              </w:rPr>
              <w:t>Patrols</w:t>
            </w:r>
          </w:p>
          <w:p w:rsidRPr="00376021" w:rsidR="00D322DD" w:rsidP="00CD4C74" w:rsidRDefault="00D322DD" w14:paraId="22EFA483" w14:textId="77777777">
            <w:pPr>
              <w:jc w:val="both"/>
              <w:rPr>
                <w:rFonts w:ascii="Arial" w:hAnsi="Arial" w:cs="Arial"/>
              </w:rPr>
            </w:pPr>
            <w:r w:rsidRPr="00376021">
              <w:rPr>
                <w:rFonts w:ascii="Arial" w:hAnsi="Arial" w:cs="Arial"/>
              </w:rPr>
              <w:t>The process for Op Grip is as follows:</w:t>
            </w:r>
          </w:p>
          <w:p w:rsidRPr="00376021" w:rsidR="00D322DD" w:rsidP="00CD4C74" w:rsidRDefault="00D322DD" w14:paraId="5E8707C9" w14:textId="77777777">
            <w:pPr>
              <w:pStyle w:val="ListParagraph"/>
              <w:numPr>
                <w:ilvl w:val="0"/>
                <w:numId w:val="2"/>
              </w:numPr>
              <w:autoSpaceDN/>
              <w:spacing w:after="160" w:line="259" w:lineRule="auto"/>
              <w:contextualSpacing/>
              <w:jc w:val="both"/>
              <w:rPr>
                <w:rFonts w:ascii="Arial" w:hAnsi="Arial" w:cs="Arial"/>
              </w:rPr>
            </w:pPr>
            <w:r w:rsidRPr="00376021">
              <w:rPr>
                <w:rFonts w:ascii="Arial" w:hAnsi="Arial" w:cs="Arial"/>
              </w:rPr>
              <w:t>15 Grip areas identified and communicated to NPIs</w:t>
            </w:r>
          </w:p>
          <w:p w:rsidRPr="00376021" w:rsidR="00D322DD" w:rsidP="00CD4C74" w:rsidRDefault="00D322DD" w14:paraId="7D428DD2" w14:textId="77777777">
            <w:pPr>
              <w:pStyle w:val="ListParagraph"/>
              <w:numPr>
                <w:ilvl w:val="0"/>
                <w:numId w:val="2"/>
              </w:numPr>
              <w:autoSpaceDN/>
              <w:spacing w:after="160" w:line="259" w:lineRule="auto"/>
              <w:contextualSpacing/>
              <w:jc w:val="both"/>
              <w:rPr>
                <w:rFonts w:ascii="Arial" w:hAnsi="Arial" w:cs="Arial"/>
              </w:rPr>
            </w:pPr>
            <w:r w:rsidRPr="00376021">
              <w:rPr>
                <w:rFonts w:ascii="Arial" w:hAnsi="Arial" w:cs="Arial"/>
              </w:rPr>
              <w:t>A BATS slide with analytical data for each Grip area is produced alongside a BATS task for update by officers conducting Grip Patrols</w:t>
            </w:r>
          </w:p>
          <w:p w:rsidRPr="00376021" w:rsidR="00D322DD" w:rsidP="00CD4C74" w:rsidRDefault="00D322DD" w14:paraId="7D47AF64" w14:textId="77777777">
            <w:pPr>
              <w:pStyle w:val="ListParagraph"/>
              <w:numPr>
                <w:ilvl w:val="0"/>
                <w:numId w:val="2"/>
              </w:numPr>
              <w:autoSpaceDN/>
              <w:spacing w:after="160" w:line="259" w:lineRule="auto"/>
              <w:contextualSpacing/>
              <w:jc w:val="both"/>
              <w:rPr>
                <w:rFonts w:ascii="Arial" w:hAnsi="Arial" w:cs="Arial"/>
              </w:rPr>
            </w:pPr>
            <w:r w:rsidRPr="00376021">
              <w:rPr>
                <w:rFonts w:ascii="Arial" w:hAnsi="Arial" w:cs="Arial"/>
              </w:rPr>
              <w:t xml:space="preserve">Grip areas identify a patrol strategy in line with </w:t>
            </w:r>
            <w:proofErr w:type="gramStart"/>
            <w:r w:rsidRPr="00376021">
              <w:rPr>
                <w:rFonts w:ascii="Arial" w:hAnsi="Arial" w:cs="Arial"/>
              </w:rPr>
              <w:t>Home</w:t>
            </w:r>
            <w:proofErr w:type="gramEnd"/>
            <w:r w:rsidRPr="00376021">
              <w:rPr>
                <w:rFonts w:ascii="Arial" w:hAnsi="Arial" w:cs="Arial"/>
              </w:rPr>
              <w:t xml:space="preserve"> Office patrol guidance (above)</w:t>
            </w:r>
          </w:p>
          <w:p w:rsidRPr="00376021" w:rsidR="00D322DD" w:rsidP="00CD4C74" w:rsidRDefault="00D322DD" w14:paraId="42208424" w14:textId="57D318B3">
            <w:pPr>
              <w:pStyle w:val="ListParagraph"/>
              <w:numPr>
                <w:ilvl w:val="0"/>
                <w:numId w:val="2"/>
              </w:numPr>
              <w:autoSpaceDN/>
              <w:spacing w:after="160" w:line="259" w:lineRule="auto"/>
              <w:contextualSpacing/>
              <w:jc w:val="both"/>
              <w:rPr>
                <w:rFonts w:ascii="Arial" w:hAnsi="Arial" w:cs="Arial"/>
              </w:rPr>
            </w:pPr>
            <w:r w:rsidRPr="00376021">
              <w:rPr>
                <w:rFonts w:ascii="Arial" w:hAnsi="Arial" w:cs="Arial"/>
              </w:rPr>
              <w:t xml:space="preserve">Patrol Data to be recorded by supervisors using the master document – This data includes, times, dates, collar numbers and hours patrolled in Overtime or Duty Time. This </w:t>
            </w:r>
            <w:r w:rsidRPr="00376021">
              <w:rPr>
                <w:rFonts w:ascii="Arial" w:hAnsi="Arial" w:cs="Arial"/>
                <w:b/>
                <w:bCs/>
                <w:u w:val="single"/>
              </w:rPr>
              <w:t>must</w:t>
            </w:r>
            <w:r w:rsidRPr="00376021">
              <w:rPr>
                <w:rFonts w:ascii="Arial" w:hAnsi="Arial" w:cs="Arial"/>
              </w:rPr>
              <w:t xml:space="preserve"> be updated weekly</w:t>
            </w:r>
          </w:p>
          <w:p w:rsidRPr="00376021" w:rsidR="00D322DD" w:rsidP="00CD4C74" w:rsidRDefault="00D322DD" w14:paraId="747A39CF" w14:textId="1871C72F">
            <w:pPr>
              <w:pStyle w:val="ListParagraph"/>
              <w:numPr>
                <w:ilvl w:val="0"/>
                <w:numId w:val="2"/>
              </w:numPr>
              <w:autoSpaceDN/>
              <w:spacing w:after="160" w:line="259" w:lineRule="auto"/>
              <w:contextualSpacing/>
              <w:jc w:val="both"/>
              <w:rPr>
                <w:rFonts w:ascii="Arial" w:hAnsi="Arial" w:cs="Arial"/>
              </w:rPr>
            </w:pPr>
            <w:r w:rsidRPr="00376021">
              <w:rPr>
                <w:rFonts w:ascii="Arial" w:hAnsi="Arial" w:cs="Arial"/>
              </w:rPr>
              <w:t xml:space="preserve">For Grip areas that have been selected for a period exceeding 3 months a </w:t>
            </w:r>
            <w:proofErr w:type="gramStart"/>
            <w:r w:rsidRPr="00376021">
              <w:rPr>
                <w:rFonts w:ascii="Arial" w:hAnsi="Arial" w:cs="Arial"/>
              </w:rPr>
              <w:t>Problem Solving</w:t>
            </w:r>
            <w:proofErr w:type="gramEnd"/>
            <w:r w:rsidRPr="00376021">
              <w:rPr>
                <w:rFonts w:ascii="Arial" w:hAnsi="Arial" w:cs="Arial"/>
              </w:rPr>
              <w:t xml:space="preserve"> Plan is required to be produced on E-</w:t>
            </w:r>
            <w:proofErr w:type="spellStart"/>
            <w:r w:rsidRPr="00376021">
              <w:rPr>
                <w:rFonts w:ascii="Arial" w:hAnsi="Arial" w:cs="Arial"/>
              </w:rPr>
              <w:t>Cins</w:t>
            </w:r>
            <w:proofErr w:type="spellEnd"/>
            <w:r w:rsidRPr="00376021">
              <w:rPr>
                <w:rFonts w:ascii="Arial" w:hAnsi="Arial" w:cs="Arial"/>
              </w:rPr>
              <w:t xml:space="preserve"> and Quality Assured by the Neighbourhood Hub</w:t>
            </w:r>
          </w:p>
          <w:p w:rsidRPr="00376021" w:rsidR="005E58CE" w:rsidP="00CD4C74" w:rsidRDefault="005E58CE" w14:paraId="5FF3123D" w14:textId="711CAB20">
            <w:pPr>
              <w:pStyle w:val="ListParagraph"/>
              <w:numPr>
                <w:ilvl w:val="0"/>
                <w:numId w:val="2"/>
              </w:numPr>
              <w:autoSpaceDN/>
              <w:spacing w:after="160" w:line="259" w:lineRule="auto"/>
              <w:contextualSpacing/>
              <w:jc w:val="both"/>
              <w:rPr>
                <w:rFonts w:ascii="Arial" w:hAnsi="Arial" w:cs="Arial"/>
              </w:rPr>
            </w:pPr>
            <w:r w:rsidRPr="00376021">
              <w:rPr>
                <w:rFonts w:ascii="Arial" w:hAnsi="Arial" w:cs="Arial"/>
              </w:rPr>
              <w:t xml:space="preserve">Newly identified Grip areas will be provided assistance from a DOCO (Designing Out Crime Officer) for </w:t>
            </w:r>
            <w:proofErr w:type="gramStart"/>
            <w:r w:rsidRPr="00376021">
              <w:rPr>
                <w:rFonts w:ascii="Arial" w:hAnsi="Arial" w:cs="Arial"/>
              </w:rPr>
              <w:t>a</w:t>
            </w:r>
            <w:proofErr w:type="gramEnd"/>
            <w:r w:rsidRPr="00376021">
              <w:rPr>
                <w:rFonts w:ascii="Arial" w:hAnsi="Arial" w:cs="Arial"/>
              </w:rPr>
              <w:t xml:space="preserve"> Environmental Visual Assessments in line with hotspots identified </w:t>
            </w:r>
          </w:p>
          <w:p w:rsidRPr="00376021" w:rsidR="00D322DD" w:rsidP="00CD4C74" w:rsidRDefault="00D322DD" w14:paraId="1008A726" w14:textId="77777777">
            <w:pPr>
              <w:jc w:val="both"/>
              <w:rPr>
                <w:rFonts w:ascii="Arial" w:hAnsi="Arial" w:cs="Arial"/>
                <w:u w:val="single"/>
              </w:rPr>
            </w:pPr>
            <w:r w:rsidRPr="00376021">
              <w:rPr>
                <w:rFonts w:ascii="Arial" w:hAnsi="Arial" w:cs="Arial"/>
                <w:u w:val="single"/>
              </w:rPr>
              <w:t>Problem Solving Activity</w:t>
            </w:r>
          </w:p>
          <w:p w:rsidRPr="00376021" w:rsidR="00D322DD" w:rsidP="00CD4C74" w:rsidRDefault="00D322DD" w14:paraId="3701147A" w14:textId="77777777">
            <w:pPr>
              <w:jc w:val="both"/>
              <w:rPr>
                <w:rFonts w:ascii="Arial" w:hAnsi="Arial" w:cs="Arial"/>
              </w:rPr>
            </w:pPr>
            <w:r w:rsidRPr="00376021">
              <w:rPr>
                <w:rFonts w:ascii="Arial" w:hAnsi="Arial" w:cs="Arial"/>
              </w:rPr>
              <w:t xml:space="preserve">The bids for problem solving activity will run in line with the local area taskings/LOM. NPIs will be required to put a bid to the local area Chief Inspectors. These will be agreed monthly by the Grip Panel consisting of the local area Chief Inspectors and Inspector Vale. At the end of this period the local areas will be required to provide an update </w:t>
            </w:r>
            <w:proofErr w:type="gramStart"/>
            <w:r w:rsidRPr="00376021">
              <w:rPr>
                <w:rFonts w:ascii="Arial" w:hAnsi="Arial" w:cs="Arial"/>
              </w:rPr>
              <w:t>in regard to</w:t>
            </w:r>
            <w:proofErr w:type="gramEnd"/>
            <w:r w:rsidRPr="00376021">
              <w:rPr>
                <w:rFonts w:ascii="Arial" w:hAnsi="Arial" w:cs="Arial"/>
              </w:rPr>
              <w:t xml:space="preserve"> the activity undertaken and the results.</w:t>
            </w:r>
          </w:p>
          <w:p w:rsidRPr="00376021" w:rsidR="00D322DD" w:rsidP="00CD4C74" w:rsidRDefault="00D322DD" w14:paraId="3F7B6496" w14:textId="4DD1C437">
            <w:pPr>
              <w:jc w:val="both"/>
              <w:rPr>
                <w:rFonts w:ascii="Arial" w:hAnsi="Arial" w:cs="Arial"/>
              </w:rPr>
            </w:pPr>
            <w:r w:rsidRPr="00376021">
              <w:rPr>
                <w:rFonts w:ascii="Arial" w:hAnsi="Arial" w:cs="Arial"/>
              </w:rPr>
              <w:t>Bids cannot consist of</w:t>
            </w:r>
            <w:r w:rsidRPr="00376021" w:rsidR="00AD42F5">
              <w:rPr>
                <w:rFonts w:ascii="Arial" w:hAnsi="Arial" w:cs="Arial"/>
              </w:rPr>
              <w:t xml:space="preserve"> only</w:t>
            </w:r>
            <w:r w:rsidRPr="00376021">
              <w:rPr>
                <w:rFonts w:ascii="Arial" w:hAnsi="Arial" w:cs="Arial"/>
              </w:rPr>
              <w:t xml:space="preserve"> high visibility patrol, there must be a specific response to an issue identified and a link to POP and EBP identified in how this will be approached.</w:t>
            </w:r>
          </w:p>
          <w:p w:rsidRPr="00376021" w:rsidR="00D322DD" w:rsidP="00CD4C74" w:rsidRDefault="00D322DD" w14:paraId="7BCEA747" w14:textId="77777777">
            <w:pPr>
              <w:jc w:val="both"/>
              <w:rPr>
                <w:rFonts w:ascii="Arial" w:hAnsi="Arial" w:cs="Arial"/>
              </w:rPr>
            </w:pPr>
          </w:p>
          <w:p w:rsidRPr="00376021" w:rsidR="00D322DD" w:rsidP="00CD4C74" w:rsidRDefault="00D322DD" w14:paraId="41F4585D" w14:textId="77777777">
            <w:pPr>
              <w:jc w:val="both"/>
              <w:rPr>
                <w:rFonts w:ascii="Arial" w:hAnsi="Arial" w:cs="Arial"/>
                <w:u w:val="single"/>
              </w:rPr>
            </w:pPr>
            <w:r w:rsidRPr="00376021">
              <w:rPr>
                <w:rFonts w:ascii="Arial" w:hAnsi="Arial" w:cs="Arial"/>
                <w:u w:val="single"/>
              </w:rPr>
              <w:t>Op Grip Performance</w:t>
            </w:r>
          </w:p>
          <w:p w:rsidRPr="00376021" w:rsidR="00D322DD" w:rsidP="00CD4C74" w:rsidRDefault="00D322DD" w14:paraId="55EEAE24" w14:textId="77777777">
            <w:pPr>
              <w:jc w:val="both"/>
              <w:rPr>
                <w:rFonts w:ascii="Arial" w:hAnsi="Arial" w:cs="Arial"/>
              </w:rPr>
            </w:pPr>
            <w:r w:rsidRPr="00376021">
              <w:rPr>
                <w:rFonts w:ascii="Arial" w:hAnsi="Arial" w:cs="Arial"/>
              </w:rPr>
              <w:t>Op Grip has been in place since April 2021 in Nottinghamshire and performance has been positive. In April 2022 Nottinghamshire were inspected by the Cambridge Centre for Evidence Based Policing who looked at:</w:t>
            </w:r>
          </w:p>
          <w:p w:rsidRPr="00376021" w:rsidR="00D322DD" w:rsidP="00CD4C74" w:rsidRDefault="00D322DD" w14:paraId="409B8A6C" w14:textId="77777777">
            <w:pPr>
              <w:pStyle w:val="ListParagraph"/>
              <w:numPr>
                <w:ilvl w:val="0"/>
                <w:numId w:val="4"/>
              </w:numPr>
              <w:autoSpaceDN/>
              <w:spacing w:after="160" w:line="259" w:lineRule="auto"/>
              <w:contextualSpacing/>
              <w:jc w:val="both"/>
              <w:rPr>
                <w:rFonts w:ascii="Arial" w:hAnsi="Arial" w:cs="Arial"/>
              </w:rPr>
            </w:pPr>
            <w:r w:rsidRPr="00376021">
              <w:rPr>
                <w:rFonts w:ascii="Arial" w:hAnsi="Arial" w:cs="Arial"/>
              </w:rPr>
              <w:t>Targeting</w:t>
            </w:r>
          </w:p>
          <w:p w:rsidRPr="00376021" w:rsidR="00D322DD" w:rsidP="00CD4C74" w:rsidRDefault="00D322DD" w14:paraId="2A1A27EE" w14:textId="77777777">
            <w:pPr>
              <w:pStyle w:val="ListParagraph"/>
              <w:numPr>
                <w:ilvl w:val="0"/>
                <w:numId w:val="4"/>
              </w:numPr>
              <w:autoSpaceDN/>
              <w:spacing w:after="160" w:line="259" w:lineRule="auto"/>
              <w:contextualSpacing/>
              <w:jc w:val="both"/>
              <w:rPr>
                <w:rFonts w:ascii="Arial" w:hAnsi="Arial" w:cs="Arial"/>
              </w:rPr>
            </w:pPr>
            <w:r w:rsidRPr="00376021">
              <w:rPr>
                <w:rFonts w:ascii="Arial" w:hAnsi="Arial" w:cs="Arial"/>
              </w:rPr>
              <w:t>Tasking</w:t>
            </w:r>
          </w:p>
          <w:p w:rsidRPr="00376021" w:rsidR="00D322DD" w:rsidP="00CD4C74" w:rsidRDefault="00D322DD" w14:paraId="487A8F01" w14:textId="77777777">
            <w:pPr>
              <w:pStyle w:val="ListParagraph"/>
              <w:numPr>
                <w:ilvl w:val="0"/>
                <w:numId w:val="4"/>
              </w:numPr>
              <w:autoSpaceDN/>
              <w:spacing w:after="160" w:line="259" w:lineRule="auto"/>
              <w:contextualSpacing/>
              <w:jc w:val="both"/>
              <w:rPr>
                <w:rFonts w:ascii="Arial" w:hAnsi="Arial" w:cs="Arial"/>
              </w:rPr>
            </w:pPr>
            <w:r w:rsidRPr="00376021">
              <w:rPr>
                <w:rFonts w:ascii="Arial" w:hAnsi="Arial" w:cs="Arial"/>
              </w:rPr>
              <w:t>Tracking</w:t>
            </w:r>
          </w:p>
          <w:p w:rsidRPr="00376021" w:rsidR="00D322DD" w:rsidP="00CD4C74" w:rsidRDefault="00D322DD" w14:paraId="20CD0663" w14:textId="77777777">
            <w:pPr>
              <w:pStyle w:val="ListParagraph"/>
              <w:numPr>
                <w:ilvl w:val="0"/>
                <w:numId w:val="4"/>
              </w:numPr>
              <w:autoSpaceDN/>
              <w:spacing w:after="160" w:line="259" w:lineRule="auto"/>
              <w:contextualSpacing/>
              <w:jc w:val="both"/>
              <w:rPr>
                <w:rFonts w:ascii="Arial" w:hAnsi="Arial" w:cs="Arial"/>
              </w:rPr>
            </w:pPr>
            <w:r w:rsidRPr="00376021">
              <w:rPr>
                <w:rFonts w:ascii="Arial" w:hAnsi="Arial" w:cs="Arial"/>
              </w:rPr>
              <w:t>Testing</w:t>
            </w:r>
          </w:p>
          <w:p w:rsidRPr="00376021" w:rsidR="00D322DD" w:rsidP="00CD4C74" w:rsidRDefault="00D322DD" w14:paraId="747AC274" w14:textId="77777777">
            <w:pPr>
              <w:pStyle w:val="ListParagraph"/>
              <w:numPr>
                <w:ilvl w:val="0"/>
                <w:numId w:val="4"/>
              </w:numPr>
              <w:autoSpaceDN/>
              <w:spacing w:after="160" w:line="259" w:lineRule="auto"/>
              <w:contextualSpacing/>
              <w:jc w:val="both"/>
              <w:rPr>
                <w:rFonts w:ascii="Arial" w:hAnsi="Arial" w:cs="Arial"/>
              </w:rPr>
            </w:pPr>
            <w:r w:rsidRPr="00376021">
              <w:rPr>
                <w:rFonts w:ascii="Arial" w:hAnsi="Arial" w:cs="Arial"/>
              </w:rPr>
              <w:t xml:space="preserve">Technology </w:t>
            </w:r>
          </w:p>
          <w:p w:rsidRPr="00376021" w:rsidR="00D322DD" w:rsidP="00CD4C74" w:rsidRDefault="00D322DD" w14:paraId="2482C8B7" w14:textId="77777777">
            <w:pPr>
              <w:pStyle w:val="ListParagraph"/>
              <w:numPr>
                <w:ilvl w:val="0"/>
                <w:numId w:val="4"/>
              </w:numPr>
              <w:autoSpaceDN/>
              <w:spacing w:after="160" w:line="259" w:lineRule="auto"/>
              <w:contextualSpacing/>
              <w:jc w:val="both"/>
              <w:rPr>
                <w:rFonts w:ascii="Arial" w:hAnsi="Arial" w:cs="Arial"/>
              </w:rPr>
            </w:pPr>
            <w:r w:rsidRPr="00376021">
              <w:rPr>
                <w:rFonts w:ascii="Arial" w:hAnsi="Arial" w:cs="Arial"/>
              </w:rPr>
              <w:t>Training</w:t>
            </w:r>
          </w:p>
          <w:p w:rsidRPr="00376021" w:rsidR="00D322DD" w:rsidP="00CD4C74" w:rsidRDefault="00D322DD" w14:paraId="485ACF99" w14:textId="77777777">
            <w:pPr>
              <w:jc w:val="both"/>
              <w:rPr>
                <w:rFonts w:ascii="Arial" w:hAnsi="Arial" w:cs="Arial"/>
              </w:rPr>
            </w:pPr>
            <w:r w:rsidRPr="00376021">
              <w:rPr>
                <w:rFonts w:ascii="Arial" w:hAnsi="Arial" w:cs="Arial"/>
              </w:rPr>
              <w:t>Nottinghamshire receive positive feedback in all areas with limited recommendations.</w:t>
            </w:r>
          </w:p>
          <w:p w:rsidRPr="00376021" w:rsidR="00D322DD" w:rsidP="00CD4C74" w:rsidRDefault="00D322DD" w14:paraId="5EDB067C" w14:textId="1CADC0FF">
            <w:pPr>
              <w:jc w:val="both"/>
              <w:rPr>
                <w:rFonts w:ascii="Arial" w:hAnsi="Arial" w:cs="Arial"/>
              </w:rPr>
            </w:pPr>
            <w:r w:rsidRPr="00376021">
              <w:rPr>
                <w:rFonts w:ascii="Arial" w:hAnsi="Arial" w:cs="Arial"/>
              </w:rPr>
              <w:t xml:space="preserve">End of year analytical data has shown that in areas where Op Grip is utilised there is a significantly lower increase in occurrences of serious violence and crime harm when compared to the control areas that received no additional patrols (See </w:t>
            </w:r>
            <w:proofErr w:type="spellStart"/>
            <w:r w:rsidRPr="00376021">
              <w:rPr>
                <w:rFonts w:ascii="Arial" w:hAnsi="Arial" w:cs="Arial"/>
              </w:rPr>
              <w:t>Fig.a</w:t>
            </w:r>
            <w:proofErr w:type="spellEnd"/>
            <w:r w:rsidRPr="00376021">
              <w:rPr>
                <w:rFonts w:ascii="Arial" w:hAnsi="Arial" w:cs="Arial"/>
              </w:rPr>
              <w:t xml:space="preserve">). This clearly shows the benefit of having the additional patrols in these areas. </w:t>
            </w:r>
            <w:r w:rsidRPr="00376021" w:rsidR="004561AF">
              <w:rPr>
                <w:rFonts w:ascii="Arial" w:hAnsi="Arial" w:cs="Arial"/>
              </w:rPr>
              <w:t>This supports the theory that hot spot policing reduces offending/ re-offending.</w:t>
            </w:r>
          </w:p>
          <w:p w:rsidRPr="00376021" w:rsidR="00D322DD" w:rsidP="00CD4C74" w:rsidRDefault="00D322DD" w14:paraId="13949E16" w14:textId="77777777">
            <w:pPr>
              <w:jc w:val="both"/>
              <w:rPr>
                <w:rFonts w:ascii="Arial" w:hAnsi="Arial" w:cs="Arial"/>
              </w:rPr>
            </w:pPr>
            <w:r w:rsidRPr="00376021">
              <w:rPr>
                <w:rFonts w:ascii="Arial" w:hAnsi="Arial" w:cs="Arial"/>
              </w:rPr>
              <w:t xml:space="preserve">When looking at proactive Policing in the patrol and control areas, a significantly higher proportion (46%) of weapons possession offences were identified in patrol areas compared to control areas highlighting the proactive identification of offenders in these areas. The identification of drug possession offences decreased in both areas the patrol areas saw a far lower decrease of 7% as opposed to the control areas decrease of 34% (see </w:t>
            </w:r>
            <w:proofErr w:type="spellStart"/>
            <w:r w:rsidRPr="00376021">
              <w:rPr>
                <w:rFonts w:ascii="Arial" w:hAnsi="Arial" w:cs="Arial"/>
              </w:rPr>
              <w:t>Fig.b</w:t>
            </w:r>
            <w:proofErr w:type="spellEnd"/>
            <w:r w:rsidRPr="00376021">
              <w:rPr>
                <w:rFonts w:ascii="Arial" w:hAnsi="Arial" w:cs="Arial"/>
              </w:rPr>
              <w:t>).</w:t>
            </w:r>
          </w:p>
          <w:p w:rsidRPr="00376021" w:rsidR="00D322DD" w:rsidP="00D322DD" w:rsidRDefault="00D322DD" w14:paraId="47818011" w14:textId="77777777">
            <w:pPr>
              <w:rPr>
                <w:rFonts w:ascii="Arial" w:hAnsi="Arial" w:cs="Arial"/>
              </w:rPr>
            </w:pPr>
          </w:p>
          <w:p w:rsidRPr="00376021" w:rsidR="00D322DD" w:rsidP="00D322DD" w:rsidRDefault="00D322DD" w14:paraId="4E1AF05B" w14:textId="77777777">
            <w:pPr>
              <w:rPr>
                <w:rFonts w:ascii="Arial" w:hAnsi="Arial" w:cs="Arial"/>
              </w:rPr>
            </w:pPr>
          </w:p>
          <w:p w:rsidRPr="00376021" w:rsidR="00D322DD" w:rsidP="00D322DD" w:rsidRDefault="00D322DD" w14:paraId="7A83A746" w14:textId="77777777">
            <w:pPr>
              <w:rPr>
                <w:rFonts w:ascii="Arial" w:hAnsi="Arial" w:cs="Arial"/>
              </w:rPr>
            </w:pPr>
          </w:p>
          <w:p w:rsidRPr="00376021" w:rsidR="00D322DD" w:rsidP="00D322DD" w:rsidRDefault="00D322DD" w14:paraId="27B52EEE" w14:textId="77777777">
            <w:pPr>
              <w:rPr>
                <w:rFonts w:ascii="Arial" w:hAnsi="Arial" w:cs="Arial"/>
              </w:rPr>
            </w:pPr>
            <w:r w:rsidRPr="00376021">
              <w:rPr>
                <w:rFonts w:ascii="Arial" w:hAnsi="Arial" w:cs="Arial"/>
                <w:noProof/>
              </w:rPr>
              <w:drawing>
                <wp:inline distT="0" distB="0" distL="0" distR="0" wp14:anchorId="0EC40A26" wp14:editId="11C5FA3F">
                  <wp:extent cx="5731510" cy="1976755"/>
                  <wp:effectExtent l="0" t="0" r="2540" b="4445"/>
                  <wp:docPr id="4" name="Picture 3">
                    <a:extLst xmlns:a="http://schemas.openxmlformats.org/drawingml/2006/main">
                      <a:ext uri="{FF2B5EF4-FFF2-40B4-BE49-F238E27FC236}">
                        <a16:creationId xmlns:a16="http://schemas.microsoft.com/office/drawing/2014/main" id="{E6B6A3D9-8F41-4AAC-A3B3-FD775AB0E650}"/>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6B6A3D9-8F41-4AAC-A3B3-FD775AB0E650}"/>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976755"/>
                          </a:xfrm>
                          <a:prstGeom prst="rect">
                            <a:avLst/>
                          </a:prstGeom>
                          <a:noFill/>
                          <a:ln>
                            <a:noFill/>
                          </a:ln>
                        </pic:spPr>
                      </pic:pic>
                    </a:graphicData>
                  </a:graphic>
                </wp:inline>
              </w:drawing>
            </w:r>
          </w:p>
          <w:p w:rsidRPr="00376021" w:rsidR="00D322DD" w:rsidP="00D322DD" w:rsidRDefault="00D322DD" w14:paraId="6CD615BC" w14:textId="77777777">
            <w:pPr>
              <w:rPr>
                <w:rFonts w:ascii="Arial" w:hAnsi="Arial" w:cs="Arial"/>
              </w:rPr>
            </w:pPr>
            <w:proofErr w:type="spellStart"/>
            <w:r w:rsidRPr="00376021">
              <w:rPr>
                <w:rFonts w:ascii="Arial" w:hAnsi="Arial" w:cs="Arial"/>
              </w:rPr>
              <w:t>Fig.a</w:t>
            </w:r>
            <w:proofErr w:type="spellEnd"/>
          </w:p>
          <w:p w:rsidRPr="00376021" w:rsidR="00D322DD" w:rsidP="00D322DD" w:rsidRDefault="00D322DD" w14:paraId="6C0CACC1" w14:textId="77777777">
            <w:pPr>
              <w:rPr>
                <w:rFonts w:ascii="Arial" w:hAnsi="Arial" w:cs="Arial"/>
              </w:rPr>
            </w:pPr>
          </w:p>
          <w:p w:rsidRPr="00376021" w:rsidR="00D322DD" w:rsidP="00D322DD" w:rsidRDefault="00D322DD" w14:paraId="3D4C51D6" w14:textId="77777777">
            <w:pPr>
              <w:rPr>
                <w:rFonts w:ascii="Arial" w:hAnsi="Arial" w:cs="Arial"/>
              </w:rPr>
            </w:pPr>
            <w:r w:rsidRPr="00376021">
              <w:rPr>
                <w:rFonts w:ascii="Arial" w:hAnsi="Arial" w:cs="Arial"/>
                <w:noProof/>
              </w:rPr>
              <w:drawing>
                <wp:inline distT="0" distB="0" distL="0" distR="0" wp14:anchorId="731DFD54" wp14:editId="608C736E">
                  <wp:extent cx="5731510" cy="2300605"/>
                  <wp:effectExtent l="0" t="0" r="2540" b="4445"/>
                  <wp:docPr id="5" name="Picture 4">
                    <a:extLst xmlns:a="http://schemas.openxmlformats.org/drawingml/2006/main">
                      <a:ext uri="{FF2B5EF4-FFF2-40B4-BE49-F238E27FC236}">
                        <a16:creationId xmlns:a16="http://schemas.microsoft.com/office/drawing/2014/main" id="{EE846285-5976-4EEC-869E-F2582D258F33}"/>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E846285-5976-4EEC-869E-F2582D258F33}"/>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300605"/>
                          </a:xfrm>
                          <a:prstGeom prst="rect">
                            <a:avLst/>
                          </a:prstGeom>
                          <a:noFill/>
                          <a:ln>
                            <a:noFill/>
                          </a:ln>
                        </pic:spPr>
                      </pic:pic>
                    </a:graphicData>
                  </a:graphic>
                </wp:inline>
              </w:drawing>
            </w:r>
          </w:p>
          <w:p w:rsidRPr="00376021" w:rsidR="00D322DD" w:rsidP="00D322DD" w:rsidRDefault="00D322DD" w14:paraId="33EC63F9" w14:textId="77777777">
            <w:pPr>
              <w:rPr>
                <w:rFonts w:ascii="Arial" w:hAnsi="Arial" w:cs="Arial"/>
              </w:rPr>
            </w:pPr>
            <w:proofErr w:type="spellStart"/>
            <w:r w:rsidRPr="00376021">
              <w:rPr>
                <w:rFonts w:ascii="Arial" w:hAnsi="Arial" w:cs="Arial"/>
              </w:rPr>
              <w:t>Fig.b</w:t>
            </w:r>
            <w:proofErr w:type="spellEnd"/>
          </w:p>
          <w:p w:rsidRPr="00376021" w:rsidR="00841961" w:rsidRDefault="00841961" w14:paraId="2CA4A091" w14:textId="48AFD5F6">
            <w:pPr>
              <w:jc w:val="both"/>
              <w:rPr>
                <w:rFonts w:ascii="Arial" w:hAnsi="Arial" w:cs="Arial"/>
                <w:color w:val="101010"/>
                <w:shd w:val="clear" w:color="auto" w:fill="EBF2F9"/>
              </w:rPr>
            </w:pPr>
          </w:p>
          <w:p w:rsidRPr="00376021" w:rsidR="00841961" w:rsidRDefault="00841961" w14:paraId="267E034E" w14:textId="35875848">
            <w:pPr>
              <w:jc w:val="both"/>
              <w:rPr>
                <w:rFonts w:ascii="Arial" w:hAnsi="Arial" w:cs="Arial"/>
                <w:color w:val="101010"/>
                <w:shd w:val="clear" w:color="auto" w:fill="EBF2F9"/>
              </w:rPr>
            </w:pPr>
          </w:p>
          <w:p w:rsidRPr="00376021" w:rsidR="00841961" w:rsidRDefault="00841961" w14:paraId="11D8589B" w14:textId="77777777">
            <w:pPr>
              <w:jc w:val="both"/>
              <w:rPr>
                <w:rFonts w:ascii="Arial" w:hAnsi="Arial" w:cs="Arial"/>
                <w:color w:val="101010"/>
                <w:shd w:val="clear" w:color="auto" w:fill="EBF2F9"/>
              </w:rPr>
            </w:pPr>
          </w:p>
          <w:p w:rsidRPr="00376021" w:rsidR="00841961" w:rsidRDefault="00841961" w14:paraId="61A1806A" w14:textId="4B5187EC">
            <w:pPr>
              <w:jc w:val="both"/>
              <w:rPr>
                <w:rFonts w:ascii="Arial" w:hAnsi="Arial" w:cs="Arial"/>
                <w:color w:val="101010"/>
                <w:shd w:val="clear" w:color="auto" w:fill="EBF2F9"/>
              </w:rPr>
            </w:pPr>
          </w:p>
        </w:tc>
      </w:tr>
    </w:tbl>
    <w:p w:rsidRPr="00376021" w:rsidR="00304CAC" w:rsidRDefault="00304CAC" w14:paraId="1D6960DE" w14:textId="77777777">
      <w:pPr>
        <w:rPr>
          <w:rFonts w:ascii="Arial" w:hAnsi="Arial" w:cs="Arial"/>
          <w:color w:val="101010"/>
          <w:shd w:val="clear" w:color="auto" w:fill="EBF2F9"/>
        </w:rPr>
      </w:pPr>
    </w:p>
    <w:p w:rsidRPr="00376021" w:rsidR="00304CAC" w:rsidRDefault="00304CAC" w14:paraId="6EB5DB91" w14:textId="77777777">
      <w:pPr>
        <w:rPr>
          <w:rFonts w:ascii="Arial" w:hAnsi="Arial" w:cs="Arial"/>
          <w:color w:val="101010"/>
          <w:shd w:val="clear" w:color="auto" w:fill="EBF2F9"/>
        </w:rPr>
      </w:pPr>
    </w:p>
    <w:p w:rsidRPr="00376021" w:rsidR="00304CAC" w:rsidRDefault="00304CAC" w14:paraId="51B54F59" w14:textId="77777777">
      <w:pPr>
        <w:rPr>
          <w:rFonts w:ascii="Arial" w:hAnsi="Arial" w:cs="Arial"/>
          <w:color w:val="101010"/>
          <w:shd w:val="clear" w:color="auto" w:fill="EBF2F9"/>
        </w:rPr>
      </w:pPr>
    </w:p>
    <w:p w:rsidRPr="00376021" w:rsidR="00304CAC" w:rsidRDefault="00304CAC" w14:paraId="16610410" w14:textId="77777777">
      <w:pPr>
        <w:rPr>
          <w:rFonts w:ascii="Arial" w:hAnsi="Arial" w:cs="Arial"/>
        </w:rPr>
      </w:pPr>
    </w:p>
    <w:bookmarkEnd w:id="0"/>
    <w:p w:rsidRPr="00376021" w:rsidR="00304CAC" w:rsidRDefault="00304CAC" w14:paraId="22E59E73" w14:textId="77777777">
      <w:pPr>
        <w:rPr>
          <w:rFonts w:ascii="Arial" w:hAnsi="Arial" w:cs="Arial"/>
        </w:rPr>
      </w:pPr>
    </w:p>
    <w:sectPr w:rsidRPr="00376021" w:rsidR="00304CAC">
      <w:headerReference w:type="default" r:id="rId9"/>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A3D5" w14:textId="77777777" w:rsidR="00A41265" w:rsidRDefault="00A41265">
      <w:r>
        <w:separator/>
      </w:r>
    </w:p>
  </w:endnote>
  <w:endnote w:type="continuationSeparator" w:id="0">
    <w:p w14:paraId="552A775A" w14:textId="77777777" w:rsidR="00A41265" w:rsidRDefault="00A4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FA93" w14:textId="77777777" w:rsidR="006061FD" w:rsidRDefault="00907A4F">
    <w:pPr>
      <w:pStyle w:val="Footer"/>
      <w:jc w:val="center"/>
    </w:pPr>
    <w:r>
      <w:fldChar w:fldCharType="begin"/>
    </w:r>
    <w:r>
      <w:instrText xml:space="preserve"> PAGE </w:instrText>
    </w:r>
    <w:r>
      <w:fldChar w:fldCharType="separate"/>
    </w:r>
    <w:r>
      <w:t>2</w:t>
    </w:r>
    <w:r>
      <w:fldChar w:fldCharType="end"/>
    </w:r>
  </w:p>
  <w:p w14:paraId="3F0E94F9" w14:textId="77777777" w:rsidR="006061FD" w:rsidRDefault="00A41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0DCB" w14:textId="77777777" w:rsidR="00A41265" w:rsidRDefault="00A41265">
      <w:r>
        <w:rPr>
          <w:color w:val="000000"/>
        </w:rPr>
        <w:separator/>
      </w:r>
    </w:p>
  </w:footnote>
  <w:footnote w:type="continuationSeparator" w:id="0">
    <w:p w14:paraId="79BC3E3F" w14:textId="77777777" w:rsidR="00A41265" w:rsidRDefault="00A41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2AAE" w14:textId="24A5A101" w:rsidR="006061FD" w:rsidRDefault="00455C7D">
    <w:pPr>
      <w:pStyle w:val="Header"/>
    </w:pPr>
    <w:r>
      <w:rPr>
        <w:rFonts w:ascii="Arial" w:hAnsi="Arial" w:cs="Arial"/>
      </w:rPr>
      <w:t>26/08/2022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1016"/>
    <w:multiLevelType w:val="hybridMultilevel"/>
    <w:tmpl w:val="832C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378E1"/>
    <w:multiLevelType w:val="hybridMultilevel"/>
    <w:tmpl w:val="3D50A8A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711F02AA"/>
    <w:multiLevelType w:val="hybridMultilevel"/>
    <w:tmpl w:val="C1BE3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521404"/>
    <w:multiLevelType w:val="multilevel"/>
    <w:tmpl w:val="3228718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852394C"/>
    <w:multiLevelType w:val="hybridMultilevel"/>
    <w:tmpl w:val="AF9A3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1D1AD9"/>
    <w:multiLevelType w:val="hybridMultilevel"/>
    <w:tmpl w:val="66A2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AC"/>
    <w:rsid w:val="00014F87"/>
    <w:rsid w:val="000D5931"/>
    <w:rsid w:val="000F0318"/>
    <w:rsid w:val="00220E4C"/>
    <w:rsid w:val="00304CAC"/>
    <w:rsid w:val="0033657C"/>
    <w:rsid w:val="00363542"/>
    <w:rsid w:val="00376021"/>
    <w:rsid w:val="003D66B1"/>
    <w:rsid w:val="00455C7D"/>
    <w:rsid w:val="004561AF"/>
    <w:rsid w:val="004974B3"/>
    <w:rsid w:val="004F22D0"/>
    <w:rsid w:val="00531FCE"/>
    <w:rsid w:val="005E58CE"/>
    <w:rsid w:val="006073B9"/>
    <w:rsid w:val="00664895"/>
    <w:rsid w:val="00781671"/>
    <w:rsid w:val="007A2BF9"/>
    <w:rsid w:val="007F41B1"/>
    <w:rsid w:val="00841961"/>
    <w:rsid w:val="00887AF8"/>
    <w:rsid w:val="008A5EC5"/>
    <w:rsid w:val="008F707E"/>
    <w:rsid w:val="00907A4F"/>
    <w:rsid w:val="00942B8F"/>
    <w:rsid w:val="0098432E"/>
    <w:rsid w:val="009C0C4E"/>
    <w:rsid w:val="00A41265"/>
    <w:rsid w:val="00A518E4"/>
    <w:rsid w:val="00AC15CE"/>
    <w:rsid w:val="00AD42F5"/>
    <w:rsid w:val="00AF22FA"/>
    <w:rsid w:val="00B84596"/>
    <w:rsid w:val="00CD4C74"/>
    <w:rsid w:val="00CE3BE1"/>
    <w:rsid w:val="00D22B77"/>
    <w:rsid w:val="00D322DD"/>
    <w:rsid w:val="00D705EC"/>
    <w:rsid w:val="00E03C5C"/>
    <w:rsid w:val="00E830BD"/>
    <w:rsid w:val="00E948FA"/>
    <w:rsid w:val="00EB34D4"/>
    <w:rsid w:val="00F72EF0"/>
    <w:rsid w:val="00FA3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EB53D"/>
  <w15:docId w15:val="{64DD4FE5-7D91-49FF-A529-C67DC941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color w:val="002060"/>
        <w:sz w:val="24"/>
        <w:szCs w:val="22"/>
        <w:lang w:val="en-GB"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libri" w:hAnsi="Calibri" w:cs="Calibri"/>
      <w:color w:val="auto"/>
      <w:sz w:val="22"/>
    </w:rPr>
  </w:style>
  <w:style w:type="paragraph" w:styleId="Heading1">
    <w:name w:val="heading 1"/>
    <w:basedOn w:val="Normal"/>
    <w:next w:val="Normal"/>
    <w:uiPriority w:val="9"/>
    <w:qFormat/>
    <w:pPr>
      <w:keepNext/>
      <w:keepLines/>
      <w:spacing w:before="120" w:after="120"/>
      <w:jc w:val="both"/>
      <w:outlineLvl w:val="0"/>
    </w:pPr>
    <w:rPr>
      <w:rFonts w:ascii="Arial" w:eastAsia="Times New Roman" w:hAnsi="Arial" w:cs="Arial"/>
      <w:b/>
      <w:bCs/>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Calibri" w:hAnsi="Calibri" w:cs="Calibri"/>
      <w:color w:val="auto"/>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hAnsi="Calibri" w:cs="Calibri"/>
      <w:b/>
      <w:bCs/>
      <w:color w:val="auto"/>
      <w:sz w:val="20"/>
      <w:szCs w:val="20"/>
    </w:rPr>
  </w:style>
  <w:style w:type="paragraph" w:styleId="ListParagraph">
    <w:name w:val="List Paragraph"/>
    <w:basedOn w:val="Normal"/>
    <w:uiPriority w:val="34"/>
    <w:qFormat/>
    <w:pPr>
      <w:suppressAutoHyphens w:val="0"/>
      <w:ind w:left="720"/>
    </w:p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hAnsi="Calibri" w:cs="Calibri"/>
      <w:color w:val="auto"/>
      <w:sz w:val="22"/>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hAnsi="Calibri" w:cs="Calibri"/>
      <w:color w:val="auto"/>
      <w:sz w:val="22"/>
    </w:rPr>
  </w:style>
  <w:style w:type="character" w:customStyle="1" w:styleId="ListParagraphChar">
    <w:name w:val="List Paragraph Char"/>
    <w:rPr>
      <w:rFonts w:ascii="Calibri" w:hAnsi="Calibri" w:cs="Calibri"/>
      <w:color w:val="auto"/>
      <w:sz w:val="22"/>
    </w:rPr>
  </w:style>
  <w:style w:type="paragraph" w:customStyle="1" w:styleId="ReportBody">
    <w:name w:val="Report Body"/>
    <w:basedOn w:val="Normal"/>
    <w:pPr>
      <w:spacing w:before="120" w:after="60"/>
      <w:jc w:val="both"/>
    </w:pPr>
    <w:rPr>
      <w:rFonts w:ascii="Arial" w:hAnsi="Arial" w:cs="Arial"/>
    </w:rPr>
  </w:style>
  <w:style w:type="character" w:customStyle="1" w:styleId="Heading1Char">
    <w:name w:val="Heading 1 Char"/>
    <w:basedOn w:val="DefaultParagraphFont"/>
    <w:rPr>
      <w:rFonts w:eastAsia="Times New Roman" w:cs="Arial"/>
      <w:b/>
      <w:bCs/>
      <w:color w:val="2F5496"/>
      <w:sz w:val="28"/>
      <w:szCs w:val="28"/>
    </w:rPr>
  </w:style>
  <w:style w:type="character" w:styleId="Hyperlink">
    <w:name w:val="Hyperlink"/>
    <w:basedOn w:val="DefaultParagraphFont"/>
    <w:uiPriority w:val="99"/>
    <w:semiHidden/>
    <w:unhideWhenUsed/>
    <w:rsid w:val="00D322DD"/>
    <w:rPr>
      <w:color w:val="0000FF"/>
      <w:u w:val="single"/>
    </w:rPr>
  </w:style>
  <w:style w:type="paragraph" w:styleId="NoSpacing">
    <w:name w:val="No Spacing"/>
    <w:rsid w:val="00781671"/>
    <w:pPr>
      <w:spacing w:after="0" w:line="240" w:lineRule="auto"/>
    </w:pPr>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Accountabilty Report A4 Improving Our Approach to Reducing Reoffending</dc:title>
  <dc:subject>
  </dc:subject>
  <dc:creator>Chantelle Dawson</dc:creator>
  <dc:description>
  </dc:description>
  <cp:lastModifiedBy>Emma Lau</cp:lastModifiedBy>
  <cp:revision>2</cp:revision>
  <dcterms:created xsi:type="dcterms:W3CDTF">2022-08-30T08:15:00Z</dcterms:created>
  <dcterms:modified xsi:type="dcterms:W3CDTF">2022-10-07T09:53:04Z</dcterms:modified>
  <cp:keywords>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2022-02-25T11:28:14Z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81fa741d-7e53-4a81-933f-28feff5c7924</vt:lpwstr>
  </property>
  <property fmtid="{D5CDD505-2E9C-101B-9397-08002B2CF9AE}" pid="8" name="MSIP_Label_0c9a534a-49dd-43c4-b4e5-f206b4dbf0e4_ContentBits">
    <vt:lpwstr>0</vt:lpwstr>
  </property>
</Properties>
</file>