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C0E" w:rsidRDefault="00887A8A" w14:paraId="3AA77DE4" w14:textId="77777777">
      <w:pPr>
        <w:rPr>
          <w:rFonts w:ascii="Arial" w:hAnsi="Arial" w:cs="Arial"/>
          <w:b/>
          <w:bCs/>
        </w:rPr>
      </w:pPr>
      <w:r>
        <w:rPr>
          <w:rFonts w:ascii="Arial" w:hAnsi="Arial" w:cs="Arial"/>
          <w:b/>
          <w:bCs/>
        </w:rPr>
        <w:t>Accountability Report: Thematic Reports: Support</w:t>
      </w:r>
    </w:p>
    <w:p w:rsidR="00F03C0E" w:rsidRDefault="00F03C0E" w14:paraId="46955DA2" w14:textId="77777777">
      <w:pPr>
        <w:rPr>
          <w:rFonts w:ascii="Arial" w:hAnsi="Arial" w:cs="Arial"/>
          <w:b/>
          <w:bCs/>
        </w:rPr>
      </w:pPr>
    </w:p>
    <w:p w:rsidR="00F03C0E" w:rsidRDefault="00887A8A" w14:paraId="6B35E677" w14:textId="77777777">
      <w:pPr>
        <w:rPr>
          <w:rFonts w:ascii="Arial" w:hAnsi="Arial" w:cs="Arial"/>
          <w:b/>
          <w:bCs/>
        </w:rPr>
      </w:pPr>
      <w:r>
        <w:rPr>
          <w:rFonts w:ascii="Arial" w:hAnsi="Arial" w:cs="Arial"/>
          <w:b/>
          <w:bCs/>
        </w:rPr>
        <w:t>C2: Improving Victims and Witness experiences of the CJS</w:t>
      </w:r>
    </w:p>
    <w:p w:rsidR="00F03C0E" w:rsidRDefault="00F03C0E" w14:paraId="0DD76289" w14:textId="77777777">
      <w:pPr>
        <w:rPr>
          <w:rFonts w:ascii="Arial" w:hAnsi="Arial" w:cs="Arial"/>
        </w:rPr>
      </w:pPr>
    </w:p>
    <w:p w:rsidR="00F03C0E" w:rsidRDefault="00F03C0E" w14:paraId="1AEBECA0" w14:textId="77777777">
      <w:pPr>
        <w:rPr>
          <w:rFonts w:ascii="Arial" w:hAnsi="Arial" w:cs="Arial"/>
        </w:rPr>
      </w:pPr>
    </w:p>
    <w:tbl>
      <w:tblPr>
        <w:tblW w:w="10225" w:type="dxa"/>
        <w:tblInd w:w="-289" w:type="dxa"/>
        <w:tblCellMar>
          <w:left w:w="10" w:type="dxa"/>
          <w:right w:w="10" w:type="dxa"/>
        </w:tblCellMar>
        <w:tblLook w:val="04A0" w:firstRow="1" w:lastRow="0" w:firstColumn="1" w:lastColumn="0" w:noHBand="0" w:noVBand="1"/>
      </w:tblPr>
      <w:tblGrid>
        <w:gridCol w:w="10225"/>
      </w:tblGrid>
      <w:tr w:rsidR="00F03C0E" w14:paraId="41103B42" w14:textId="77777777">
        <w:tblPrEx>
          <w:tblCellMar>
            <w:top w:w="0" w:type="dxa"/>
            <w:bottom w:w="0" w:type="dxa"/>
          </w:tblCellMar>
        </w:tblPrEx>
        <w:tc>
          <w:tcPr>
            <w:tcW w:w="10225"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00F03C0E" w:rsidRDefault="00F03C0E" w14:paraId="67E17B35" w14:textId="77777777">
            <w:pPr>
              <w:rPr>
                <w:rFonts w:ascii="Arial" w:hAnsi="Arial" w:cs="Arial"/>
                <w:b/>
                <w:bCs/>
              </w:rPr>
            </w:pPr>
          </w:p>
          <w:p w:rsidR="00F03C0E" w:rsidRDefault="00887A8A" w14:paraId="50408C3A" w14:textId="77777777">
            <w:pPr>
              <w:rPr>
                <w:rFonts w:ascii="Arial" w:hAnsi="Arial" w:cs="Arial"/>
                <w:b/>
                <w:bCs/>
              </w:rPr>
            </w:pPr>
            <w:r>
              <w:rPr>
                <w:rFonts w:ascii="Arial" w:hAnsi="Arial" w:cs="Arial"/>
                <w:b/>
                <w:bCs/>
              </w:rPr>
              <w:t>RAPE INVESTIGATIONS – DEMAND PROFILE</w:t>
            </w:r>
          </w:p>
          <w:p w:rsidR="00F03C0E" w:rsidRDefault="00F03C0E" w14:paraId="57505D18" w14:textId="77777777">
            <w:pPr>
              <w:rPr>
                <w:rFonts w:ascii="Arial" w:hAnsi="Arial" w:cs="Arial"/>
              </w:rPr>
            </w:pPr>
          </w:p>
        </w:tc>
      </w:tr>
      <w:tr w:rsidR="00F03C0E" w14:paraId="6793521E" w14:textId="77777777">
        <w:tblPrEx>
          <w:tblCellMar>
            <w:top w:w="0" w:type="dxa"/>
            <w:bottom w:w="0" w:type="dxa"/>
          </w:tblCellMar>
        </w:tblPrEx>
        <w:trPr>
          <w:trHeight w:val="2825"/>
        </w:trPr>
        <w:tc>
          <w:tcPr>
            <w:tcW w:w="102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F03C0E" w14:paraId="26BE2F24" w14:textId="77777777">
            <w:pPr>
              <w:jc w:val="both"/>
              <w:rPr>
                <w:rFonts w:ascii="Arial" w:hAnsi="Arial" w:cs="Arial"/>
              </w:rPr>
            </w:pPr>
          </w:p>
          <w:p w:rsidR="00F03C0E" w:rsidRDefault="00887A8A" w14:paraId="69233B96" w14:textId="77777777">
            <w:pPr>
              <w:jc w:val="both"/>
              <w:rPr>
                <w:rFonts w:ascii="Arial" w:hAnsi="Arial" w:cs="Arial"/>
              </w:rPr>
            </w:pPr>
            <w:r>
              <w:rPr>
                <w:rFonts w:ascii="Arial" w:hAnsi="Arial" w:cs="Arial"/>
              </w:rPr>
              <w:t xml:space="preserve">Reports of Rape and serious sexual offences have increased steadily since lock down </w:t>
            </w:r>
            <w:r>
              <w:rPr>
                <w:rFonts w:ascii="Arial" w:hAnsi="Arial" w:cs="Arial"/>
              </w:rPr>
              <w:t xml:space="preserve">was released and are now marginally higher than pre pandemic levels.  This can be seen on the graph below which tracks volume of recorded crimes on a quarterly basis since the beginning of 2020. </w:t>
            </w:r>
          </w:p>
          <w:p w:rsidR="00F03C0E" w:rsidRDefault="00F03C0E" w14:paraId="07B1DC96" w14:textId="77777777">
            <w:pPr>
              <w:jc w:val="both"/>
              <w:rPr>
                <w:rFonts w:ascii="Arial" w:hAnsi="Arial" w:cs="Arial"/>
              </w:rPr>
            </w:pPr>
          </w:p>
          <w:p w:rsidR="00F03C0E" w:rsidRDefault="00F03C0E" w14:paraId="4D6819F8" w14:textId="77777777">
            <w:pPr>
              <w:jc w:val="both"/>
              <w:rPr>
                <w:rFonts w:ascii="Arial" w:hAnsi="Arial" w:cs="Arial"/>
              </w:rPr>
            </w:pPr>
          </w:p>
          <w:p w:rsidR="00F03C0E" w:rsidRDefault="00F03C0E" w14:paraId="2DB910C4" w14:textId="77777777">
            <w:pPr>
              <w:jc w:val="both"/>
              <w:rPr>
                <w:rFonts w:ascii="Arial" w:hAnsi="Arial" w:cs="Arial"/>
              </w:rPr>
            </w:pPr>
          </w:p>
          <w:p w:rsidR="00F03C0E" w:rsidRDefault="00887A8A" w14:paraId="2FC50898" w14:textId="77777777">
            <w:pPr>
              <w:jc w:val="both"/>
            </w:pPr>
            <w:r>
              <w:rPr>
                <w:rFonts w:ascii="Arial" w:hAnsi="Arial" w:cs="Arial"/>
                <w:noProof/>
              </w:rPr>
              <w:drawing>
                <wp:inline distT="0" distB="0" distL="0" distR="0" wp14:anchorId="4AA6DCB5" wp14:editId="7E6DE7D6">
                  <wp:extent cx="5731514" cy="220980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3C0E" w:rsidRDefault="00F03C0E" w14:paraId="34E77D72" w14:textId="77777777">
            <w:pPr>
              <w:jc w:val="both"/>
              <w:rPr>
                <w:rFonts w:ascii="Arial" w:hAnsi="Arial" w:cs="Arial"/>
              </w:rPr>
            </w:pPr>
          </w:p>
          <w:p w:rsidR="00F03C0E" w:rsidRDefault="00F03C0E" w14:paraId="2FC44A2B" w14:textId="77777777">
            <w:pPr>
              <w:jc w:val="both"/>
              <w:rPr>
                <w:rFonts w:ascii="Arial" w:hAnsi="Arial" w:cs="Arial"/>
              </w:rPr>
            </w:pPr>
          </w:p>
          <w:p w:rsidR="00F03C0E" w:rsidRDefault="00887A8A" w14:paraId="185E1F9A" w14:textId="77777777">
            <w:pPr>
              <w:jc w:val="both"/>
              <w:rPr>
                <w:rFonts w:ascii="Arial" w:hAnsi="Arial" w:cs="Arial"/>
              </w:rPr>
            </w:pPr>
            <w:r>
              <w:rPr>
                <w:rFonts w:ascii="Arial" w:hAnsi="Arial" w:cs="Arial"/>
              </w:rPr>
              <w:t>The below data is representative of reporting of rape</w:t>
            </w:r>
            <w:r>
              <w:rPr>
                <w:rFonts w:ascii="Arial" w:hAnsi="Arial" w:cs="Arial"/>
              </w:rPr>
              <w:t xml:space="preserve"> and sexual offences and highlights in more detail the significant increase in both rape (16.5%) and sexual offences (16.3%) from the previous year.  Whilst this can be seen as positive in terms of public confidence, we are also anticipating that this dema</w:t>
            </w:r>
            <w:r>
              <w:rPr>
                <w:rFonts w:ascii="Arial" w:hAnsi="Arial" w:cs="Arial"/>
              </w:rPr>
              <w:t>nd will increase for this and next financial year.</w:t>
            </w:r>
          </w:p>
          <w:p w:rsidR="00F03C0E" w:rsidRDefault="00F03C0E" w14:paraId="6DEF1176" w14:textId="77777777">
            <w:pPr>
              <w:jc w:val="both"/>
              <w:rPr>
                <w:rFonts w:ascii="Arial" w:hAnsi="Arial" w:cs="Arial"/>
              </w:rPr>
            </w:pPr>
          </w:p>
          <w:p w:rsidR="00F03C0E" w:rsidRDefault="00F03C0E" w14:paraId="077DD6C1" w14:textId="77777777">
            <w:pPr>
              <w:jc w:val="both"/>
              <w:rPr>
                <w:rFonts w:ascii="Arial" w:hAnsi="Arial" w:cs="Arial"/>
              </w:rPr>
            </w:pPr>
          </w:p>
          <w:p w:rsidR="00F03C0E" w:rsidRDefault="00887A8A" w14:paraId="01A45966" w14:textId="77777777">
            <w:pPr>
              <w:jc w:val="both"/>
            </w:pPr>
            <w:r>
              <w:rPr>
                <w:rFonts w:ascii="Arial" w:hAnsi="Arial" w:cs="Arial"/>
                <w:noProof/>
              </w:rPr>
              <w:drawing>
                <wp:inline distT="0" distB="0" distL="0" distR="0" wp14:anchorId="59640602" wp14:editId="6D4771EF">
                  <wp:extent cx="5724528" cy="352428"/>
                  <wp:effectExtent l="0" t="0" r="9522" b="9522"/>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24528" cy="352428"/>
                          </a:xfrm>
                          <a:prstGeom prst="rect">
                            <a:avLst/>
                          </a:prstGeom>
                          <a:noFill/>
                          <a:ln>
                            <a:noFill/>
                            <a:prstDash/>
                          </a:ln>
                        </pic:spPr>
                      </pic:pic>
                    </a:graphicData>
                  </a:graphic>
                </wp:inline>
              </w:drawing>
            </w:r>
          </w:p>
          <w:p w:rsidR="00F03C0E" w:rsidRDefault="00887A8A" w14:paraId="190642C6" w14:textId="77777777">
            <w:pPr>
              <w:jc w:val="both"/>
            </w:pPr>
            <w:r>
              <w:rPr>
                <w:noProof/>
              </w:rPr>
              <w:drawing>
                <wp:inline distT="0" distB="0" distL="0" distR="0" wp14:anchorId="68EADDA6" wp14:editId="15462504">
                  <wp:extent cx="5731514" cy="957577"/>
                  <wp:effectExtent l="0" t="0" r="2536" b="0"/>
                  <wp:docPr id="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31514" cy="957577"/>
                          </a:xfrm>
                          <a:prstGeom prst="rect">
                            <a:avLst/>
                          </a:prstGeom>
                          <a:noFill/>
                          <a:ln>
                            <a:noFill/>
                            <a:prstDash/>
                          </a:ln>
                        </pic:spPr>
                      </pic:pic>
                    </a:graphicData>
                  </a:graphic>
                </wp:inline>
              </w:drawing>
            </w:r>
          </w:p>
          <w:p w:rsidR="00F03C0E" w:rsidRDefault="00887A8A" w14:paraId="203C598F" w14:textId="77777777">
            <w:pPr>
              <w:jc w:val="both"/>
            </w:pPr>
            <w:r>
              <w:rPr>
                <w:noProof/>
              </w:rPr>
              <w:drawing>
                <wp:inline distT="0" distB="0" distL="0" distR="0" wp14:anchorId="3F06B9A9" wp14:editId="000D4C82">
                  <wp:extent cx="5731514" cy="537210"/>
                  <wp:effectExtent l="0" t="0" r="2536" b="0"/>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731514" cy="537210"/>
                          </a:xfrm>
                          <a:prstGeom prst="rect">
                            <a:avLst/>
                          </a:prstGeom>
                          <a:noFill/>
                          <a:ln>
                            <a:noFill/>
                            <a:prstDash/>
                          </a:ln>
                        </pic:spPr>
                      </pic:pic>
                    </a:graphicData>
                  </a:graphic>
                </wp:inline>
              </w:drawing>
            </w:r>
          </w:p>
          <w:p w:rsidR="00F03C0E" w:rsidRDefault="00F03C0E" w14:paraId="464487B2" w14:textId="77777777">
            <w:pPr>
              <w:jc w:val="both"/>
              <w:rPr>
                <w:rFonts w:ascii="Arial" w:hAnsi="Arial" w:cs="Arial"/>
              </w:rPr>
            </w:pPr>
          </w:p>
          <w:p w:rsidR="00F03C0E" w:rsidRDefault="00F03C0E" w14:paraId="4E169776" w14:textId="77777777">
            <w:pPr>
              <w:jc w:val="both"/>
              <w:rPr>
                <w:rFonts w:ascii="Arial" w:hAnsi="Arial" w:cs="Arial"/>
              </w:rPr>
            </w:pPr>
          </w:p>
          <w:p w:rsidR="00F03C0E" w:rsidRDefault="00F03C0E" w14:paraId="53BD594A" w14:textId="77777777">
            <w:pPr>
              <w:jc w:val="both"/>
              <w:rPr>
                <w:rFonts w:ascii="Arial" w:hAnsi="Arial" w:cs="Arial"/>
              </w:rPr>
            </w:pPr>
          </w:p>
          <w:p w:rsidR="00F03C0E" w:rsidRDefault="00F03C0E" w14:paraId="22175A67" w14:textId="77777777">
            <w:pPr>
              <w:jc w:val="both"/>
              <w:rPr>
                <w:rFonts w:ascii="Arial" w:hAnsi="Arial" w:cs="Arial"/>
              </w:rPr>
            </w:pPr>
          </w:p>
          <w:p w:rsidR="00F03C0E" w:rsidRDefault="00F03C0E" w14:paraId="74F3F82F" w14:textId="77777777">
            <w:pPr>
              <w:jc w:val="both"/>
              <w:rPr>
                <w:rFonts w:ascii="Arial" w:hAnsi="Arial" w:cs="Arial"/>
              </w:rPr>
            </w:pPr>
          </w:p>
          <w:p w:rsidR="00F03C0E" w:rsidRDefault="00F03C0E" w14:paraId="4E8509F3" w14:textId="77777777">
            <w:pPr>
              <w:jc w:val="both"/>
              <w:rPr>
                <w:rFonts w:ascii="Arial" w:hAnsi="Arial" w:cs="Arial"/>
              </w:rPr>
            </w:pPr>
          </w:p>
          <w:p w:rsidR="00F03C0E" w:rsidRDefault="00F03C0E" w14:paraId="60DB9840" w14:textId="77777777">
            <w:pPr>
              <w:jc w:val="both"/>
              <w:rPr>
                <w:rFonts w:ascii="Arial" w:hAnsi="Arial" w:cs="Arial"/>
              </w:rPr>
            </w:pPr>
          </w:p>
          <w:p w:rsidR="00F03C0E" w:rsidRDefault="00F03C0E" w14:paraId="636CBB72" w14:textId="77777777">
            <w:pPr>
              <w:jc w:val="both"/>
              <w:rPr>
                <w:rFonts w:ascii="Arial" w:hAnsi="Arial" w:cs="Arial"/>
              </w:rPr>
            </w:pPr>
          </w:p>
          <w:p w:rsidR="00F03C0E" w:rsidRDefault="00887A8A" w14:paraId="5D5FE957" w14:textId="77777777">
            <w:pPr>
              <w:jc w:val="both"/>
            </w:pPr>
            <w:r>
              <w:rPr>
                <w:rFonts w:ascii="Arial" w:hAnsi="Arial" w:cs="Arial"/>
                <w:noProof/>
              </w:rPr>
              <w:drawing>
                <wp:inline distT="0" distB="0" distL="0" distR="0" wp14:anchorId="193CCEFA" wp14:editId="4CDD05B1">
                  <wp:extent cx="5724528" cy="447671"/>
                  <wp:effectExtent l="0" t="0" r="9522" b="0"/>
                  <wp:docPr id="5"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724528" cy="447671"/>
                          </a:xfrm>
                          <a:prstGeom prst="rect">
                            <a:avLst/>
                          </a:prstGeom>
                          <a:noFill/>
                          <a:ln>
                            <a:noFill/>
                            <a:prstDash/>
                          </a:ln>
                        </pic:spPr>
                      </pic:pic>
                    </a:graphicData>
                  </a:graphic>
                </wp:inline>
              </w:drawing>
            </w:r>
          </w:p>
          <w:p w:rsidR="00F03C0E" w:rsidRDefault="00F03C0E" w14:paraId="4387A225" w14:textId="77777777">
            <w:pPr>
              <w:jc w:val="both"/>
              <w:rPr>
                <w:rFonts w:ascii="Arial" w:hAnsi="Arial" w:cs="Arial"/>
              </w:rPr>
            </w:pPr>
          </w:p>
          <w:p w:rsidR="00F03C0E" w:rsidRDefault="00F03C0E" w14:paraId="456442BA" w14:textId="77777777">
            <w:pPr>
              <w:jc w:val="both"/>
            </w:pPr>
          </w:p>
          <w:p w:rsidR="00F03C0E" w:rsidRDefault="00887A8A" w14:paraId="3260B8E1" w14:textId="77777777">
            <w:pPr>
              <w:jc w:val="both"/>
            </w:pPr>
            <w:r>
              <w:rPr>
                <w:rFonts w:ascii="Arial" w:hAnsi="Arial" w:cs="Arial"/>
              </w:rPr>
              <w:t>Data obtained from April 2022 highlights Nottinghamshire nationally ranked 6</w:t>
            </w:r>
            <w:r>
              <w:rPr>
                <w:rFonts w:ascii="Arial" w:hAnsi="Arial" w:cs="Arial"/>
                <w:vertAlign w:val="superscript"/>
              </w:rPr>
              <w:t>th,</w:t>
            </w:r>
            <w:r>
              <w:rPr>
                <w:rFonts w:ascii="Arial" w:hAnsi="Arial" w:cs="Arial"/>
              </w:rPr>
              <w:t xml:space="preserve"> with 72.2% of pre-charge decisions submitted resulting in a charge. This is despite the demand </w:t>
            </w:r>
            <w:r>
              <w:rPr>
                <w:rFonts w:ascii="Arial" w:hAnsi="Arial" w:cs="Arial"/>
              </w:rPr>
              <w:t>increase seen above.</w:t>
            </w:r>
          </w:p>
          <w:p w:rsidR="00F03C0E" w:rsidRDefault="00887A8A" w14:paraId="43A16B60" w14:textId="77777777">
            <w:pPr>
              <w:jc w:val="both"/>
              <w:rPr>
                <w:rFonts w:ascii="Arial" w:hAnsi="Arial" w:cs="Arial"/>
              </w:rPr>
            </w:pPr>
            <w:r>
              <w:rPr>
                <w:rFonts w:ascii="Arial" w:hAnsi="Arial" w:cs="Arial"/>
              </w:rPr>
              <w:t xml:space="preserve">The rolling 12-month positive outcome rate being 8.4% (highlighting consistent high performance). </w:t>
            </w:r>
          </w:p>
          <w:p w:rsidR="00F03C0E" w:rsidRDefault="00887A8A" w14:paraId="22A12156" w14:textId="77777777">
            <w:pPr>
              <w:jc w:val="both"/>
              <w:rPr>
                <w:rFonts w:ascii="Arial" w:hAnsi="Arial" w:cs="Arial"/>
              </w:rPr>
            </w:pPr>
            <w:r>
              <w:rPr>
                <w:rFonts w:ascii="Arial" w:hAnsi="Arial" w:cs="Arial"/>
              </w:rPr>
              <w:t>Since April 2021 we continually see a gradual increase in positive outcome rates which is reflective of some of the initiatives and part</w:t>
            </w:r>
            <w:r>
              <w:rPr>
                <w:rFonts w:ascii="Arial" w:hAnsi="Arial" w:cs="Arial"/>
              </w:rPr>
              <w:t>nership working detailed below.</w:t>
            </w:r>
          </w:p>
          <w:p w:rsidR="00F03C0E" w:rsidRDefault="00F03C0E" w14:paraId="1A88A375" w14:textId="77777777">
            <w:pPr>
              <w:jc w:val="both"/>
              <w:rPr>
                <w:rFonts w:ascii="Arial" w:hAnsi="Arial" w:cs="Arial"/>
              </w:rPr>
            </w:pPr>
          </w:p>
          <w:p w:rsidR="00F03C0E" w:rsidRDefault="00F03C0E" w14:paraId="06F3705C" w14:textId="77777777">
            <w:pPr>
              <w:jc w:val="both"/>
              <w:rPr>
                <w:rFonts w:ascii="Arial" w:hAnsi="Arial" w:cs="Arial"/>
              </w:rPr>
            </w:pPr>
          </w:p>
          <w:tbl>
            <w:tblPr>
              <w:tblW w:w="7963" w:type="dxa"/>
              <w:tblCellMar>
                <w:left w:w="10" w:type="dxa"/>
                <w:right w:w="10" w:type="dxa"/>
              </w:tblCellMar>
              <w:tblLook w:val="04A0" w:firstRow="1" w:lastRow="0" w:firstColumn="1" w:lastColumn="0" w:noHBand="0" w:noVBand="1"/>
            </w:tblPr>
            <w:tblGrid>
              <w:gridCol w:w="1156"/>
              <w:gridCol w:w="1134"/>
              <w:gridCol w:w="1134"/>
              <w:gridCol w:w="1134"/>
              <w:gridCol w:w="1134"/>
              <w:gridCol w:w="1134"/>
              <w:gridCol w:w="1137"/>
            </w:tblGrid>
            <w:tr w:rsidR="00F03C0E" w14:paraId="10CC95A7" w14:textId="77777777">
              <w:tblPrEx>
                <w:tblCellMar>
                  <w:top w:w="0" w:type="dxa"/>
                  <w:bottom w:w="0" w:type="dxa"/>
                </w:tblCellMar>
              </w:tblPrEx>
              <w:trPr>
                <w:trHeight w:val="315"/>
              </w:trPr>
              <w:tc>
                <w:tcPr>
                  <w:tcW w:w="1156" w:type="dxa"/>
                  <w:shd w:val="clear" w:color="auto" w:fill="000000"/>
                  <w:noWrap/>
                  <w:tcMar>
                    <w:top w:w="0" w:type="dxa"/>
                    <w:left w:w="108" w:type="dxa"/>
                    <w:bottom w:w="0" w:type="dxa"/>
                    <w:right w:w="108" w:type="dxa"/>
                  </w:tcMar>
                  <w:vAlign w:val="bottom"/>
                </w:tcPr>
                <w:p w:rsidR="00F03C0E" w:rsidRDefault="00887A8A" w14:paraId="442A3D62" w14:textId="77777777">
                  <w:pPr>
                    <w:suppressAutoHyphens w:val="0"/>
                    <w:rPr>
                      <w:rFonts w:eastAsia="Times New Roman"/>
                      <w:lang w:eastAsia="en-GB"/>
                    </w:rPr>
                  </w:pPr>
                  <w:bookmarkStart w:name="_Hlk107939335" w:id="0"/>
                  <w:r>
                    <w:rPr>
                      <w:rFonts w:eastAsia="Times New Roman"/>
                      <w:lang w:eastAsia="en-GB"/>
                    </w:rPr>
                    <w:t> </w:t>
                  </w:r>
                </w:p>
              </w:tc>
              <w:tc>
                <w:tcPr>
                  <w:tcW w:w="2268"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2381A8C7" w14:textId="77777777">
                  <w:pPr>
                    <w:suppressAutoHyphens w:val="0"/>
                    <w:jc w:val="center"/>
                    <w:rPr>
                      <w:rFonts w:ascii="Arial" w:hAnsi="Arial" w:eastAsia="Times New Roman" w:cs="Arial"/>
                      <w:b/>
                      <w:bCs/>
                      <w:color w:val="002060"/>
                      <w:sz w:val="20"/>
                      <w:szCs w:val="20"/>
                      <w:lang w:eastAsia="en-GB"/>
                    </w:rPr>
                  </w:pPr>
                  <w:r>
                    <w:rPr>
                      <w:rFonts w:ascii="Arial" w:hAnsi="Arial" w:eastAsia="Times New Roman" w:cs="Arial"/>
                      <w:b/>
                      <w:bCs/>
                      <w:color w:val="002060"/>
                      <w:sz w:val="20"/>
                      <w:szCs w:val="20"/>
                      <w:lang w:eastAsia="en-GB"/>
                    </w:rPr>
                    <w:t>Current Period</w:t>
                  </w:r>
                </w:p>
              </w:tc>
              <w:tc>
                <w:tcPr>
                  <w:tcW w:w="2268" w:type="dxa"/>
                  <w:gridSpan w:val="2"/>
                  <w:tcBorders>
                    <w:top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40349B68" w14:textId="77777777">
                  <w:pPr>
                    <w:suppressAutoHyphens w:val="0"/>
                    <w:jc w:val="center"/>
                    <w:rPr>
                      <w:rFonts w:ascii="Arial" w:hAnsi="Arial" w:eastAsia="Times New Roman" w:cs="Arial"/>
                      <w:b/>
                      <w:bCs/>
                      <w:color w:val="002060"/>
                      <w:sz w:val="20"/>
                      <w:szCs w:val="20"/>
                      <w:lang w:eastAsia="en-GB"/>
                    </w:rPr>
                  </w:pPr>
                  <w:r>
                    <w:rPr>
                      <w:rFonts w:ascii="Arial" w:hAnsi="Arial" w:eastAsia="Times New Roman" w:cs="Arial"/>
                      <w:b/>
                      <w:bCs/>
                      <w:color w:val="002060"/>
                      <w:sz w:val="20"/>
                      <w:szCs w:val="20"/>
                      <w:lang w:eastAsia="en-GB"/>
                    </w:rPr>
                    <w:t>Last Period</w:t>
                  </w:r>
                </w:p>
              </w:tc>
              <w:tc>
                <w:tcPr>
                  <w:tcW w:w="2271" w:type="dxa"/>
                  <w:gridSpan w:val="2"/>
                  <w:tcBorders>
                    <w:top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3D3AB8B4" w14:textId="77777777">
                  <w:pPr>
                    <w:suppressAutoHyphens w:val="0"/>
                    <w:jc w:val="center"/>
                    <w:rPr>
                      <w:rFonts w:ascii="Arial" w:hAnsi="Arial" w:eastAsia="Times New Roman" w:cs="Arial"/>
                      <w:b/>
                      <w:bCs/>
                      <w:color w:val="002060"/>
                      <w:sz w:val="20"/>
                      <w:szCs w:val="20"/>
                      <w:lang w:eastAsia="en-GB"/>
                    </w:rPr>
                  </w:pPr>
                  <w:r>
                    <w:rPr>
                      <w:rFonts w:ascii="Arial" w:hAnsi="Arial" w:eastAsia="Times New Roman" w:cs="Arial"/>
                      <w:b/>
                      <w:bCs/>
                      <w:color w:val="002060"/>
                      <w:sz w:val="20"/>
                      <w:szCs w:val="20"/>
                      <w:lang w:eastAsia="en-GB"/>
                    </w:rPr>
                    <w:t>Previous Period</w:t>
                  </w:r>
                </w:p>
              </w:tc>
            </w:tr>
            <w:tr w:rsidR="00F03C0E" w14:paraId="733CB6C1" w14:textId="77777777">
              <w:tblPrEx>
                <w:tblCellMar>
                  <w:top w:w="0" w:type="dxa"/>
                  <w:bottom w:w="0" w:type="dxa"/>
                </w:tblCellMar>
              </w:tblPrEx>
              <w:trPr>
                <w:trHeight w:val="315"/>
              </w:trPr>
              <w:tc>
                <w:tcPr>
                  <w:tcW w:w="1156" w:type="dxa"/>
                  <w:shd w:val="clear" w:color="auto" w:fill="000000"/>
                  <w:noWrap/>
                  <w:tcMar>
                    <w:top w:w="0" w:type="dxa"/>
                    <w:left w:w="108" w:type="dxa"/>
                    <w:bottom w:w="0" w:type="dxa"/>
                    <w:right w:w="108" w:type="dxa"/>
                  </w:tcMar>
                  <w:vAlign w:val="bottom"/>
                </w:tcPr>
                <w:p w:rsidR="00F03C0E" w:rsidRDefault="00887A8A" w14:paraId="1395ED5B" w14:textId="77777777">
                  <w:pPr>
                    <w:suppressAutoHyphens w:val="0"/>
                    <w:rPr>
                      <w:rFonts w:eastAsia="Times New Roman"/>
                      <w:lang w:eastAsia="en-GB"/>
                    </w:rPr>
                  </w:pPr>
                  <w:r>
                    <w:rPr>
                      <w:rFonts w:eastAsia="Times New Roman"/>
                      <w:lang w:eastAsia="en-GB"/>
                    </w:rPr>
                    <w:t> </w:t>
                  </w:r>
                </w:p>
              </w:tc>
              <w:tc>
                <w:tcPr>
                  <w:tcW w:w="1134" w:type="dxa"/>
                  <w:tcBorders>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79BF6CAF" w14:textId="77777777">
                  <w:pPr>
                    <w:suppressAutoHyphens w:val="0"/>
                    <w:jc w:val="center"/>
                    <w:rPr>
                      <w:rFonts w:ascii="Arial" w:hAnsi="Arial" w:eastAsia="Times New Roman" w:cs="Arial"/>
                      <w:b/>
                      <w:bCs/>
                      <w:color w:val="002060"/>
                      <w:sz w:val="18"/>
                      <w:szCs w:val="18"/>
                      <w:lang w:eastAsia="en-GB"/>
                    </w:rPr>
                  </w:pPr>
                  <w:r>
                    <w:rPr>
                      <w:rFonts w:ascii="Arial" w:hAnsi="Arial" w:eastAsia="Times New Roman" w:cs="Arial"/>
                      <w:b/>
                      <w:bCs/>
                      <w:color w:val="002060"/>
                      <w:sz w:val="18"/>
                      <w:szCs w:val="18"/>
                      <w:lang w:eastAsia="en-GB"/>
                    </w:rPr>
                    <w:t>Start Date</w:t>
                  </w:r>
                </w:p>
              </w:tc>
              <w:tc>
                <w:tcPr>
                  <w:tcW w:w="1134"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3FB9715B" w14:textId="77777777">
                  <w:pPr>
                    <w:suppressAutoHyphens w:val="0"/>
                    <w:jc w:val="center"/>
                    <w:rPr>
                      <w:rFonts w:ascii="Arial" w:hAnsi="Arial" w:eastAsia="Times New Roman" w:cs="Arial"/>
                      <w:b/>
                      <w:bCs/>
                      <w:color w:val="002060"/>
                      <w:sz w:val="18"/>
                      <w:szCs w:val="18"/>
                      <w:lang w:eastAsia="en-GB"/>
                    </w:rPr>
                  </w:pPr>
                  <w:r>
                    <w:rPr>
                      <w:rFonts w:ascii="Arial" w:hAnsi="Arial" w:eastAsia="Times New Roman" w:cs="Arial"/>
                      <w:b/>
                      <w:bCs/>
                      <w:color w:val="002060"/>
                      <w:sz w:val="18"/>
                      <w:szCs w:val="18"/>
                      <w:lang w:eastAsia="en-GB"/>
                    </w:rPr>
                    <w:t>End Date</w:t>
                  </w:r>
                </w:p>
              </w:tc>
              <w:tc>
                <w:tcPr>
                  <w:tcW w:w="1134"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483E8C98" w14:textId="77777777">
                  <w:pPr>
                    <w:suppressAutoHyphens w:val="0"/>
                    <w:jc w:val="center"/>
                    <w:rPr>
                      <w:rFonts w:ascii="Arial" w:hAnsi="Arial" w:eastAsia="Times New Roman" w:cs="Arial"/>
                      <w:b/>
                      <w:bCs/>
                      <w:color w:val="002060"/>
                      <w:sz w:val="18"/>
                      <w:szCs w:val="18"/>
                      <w:lang w:eastAsia="en-GB"/>
                    </w:rPr>
                  </w:pPr>
                  <w:r>
                    <w:rPr>
                      <w:rFonts w:ascii="Arial" w:hAnsi="Arial" w:eastAsia="Times New Roman" w:cs="Arial"/>
                      <w:b/>
                      <w:bCs/>
                      <w:color w:val="002060"/>
                      <w:sz w:val="18"/>
                      <w:szCs w:val="18"/>
                      <w:lang w:eastAsia="en-GB"/>
                    </w:rPr>
                    <w:t>Start Date</w:t>
                  </w:r>
                </w:p>
              </w:tc>
              <w:tc>
                <w:tcPr>
                  <w:tcW w:w="1134"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22A48993" w14:textId="77777777">
                  <w:pPr>
                    <w:suppressAutoHyphens w:val="0"/>
                    <w:jc w:val="center"/>
                    <w:rPr>
                      <w:rFonts w:ascii="Arial" w:hAnsi="Arial" w:eastAsia="Times New Roman" w:cs="Arial"/>
                      <w:b/>
                      <w:bCs/>
                      <w:color w:val="002060"/>
                      <w:sz w:val="18"/>
                      <w:szCs w:val="18"/>
                      <w:lang w:eastAsia="en-GB"/>
                    </w:rPr>
                  </w:pPr>
                  <w:r>
                    <w:rPr>
                      <w:rFonts w:ascii="Arial" w:hAnsi="Arial" w:eastAsia="Times New Roman" w:cs="Arial"/>
                      <w:b/>
                      <w:bCs/>
                      <w:color w:val="002060"/>
                      <w:sz w:val="18"/>
                      <w:szCs w:val="18"/>
                      <w:lang w:eastAsia="en-GB"/>
                    </w:rPr>
                    <w:t>End Date</w:t>
                  </w:r>
                </w:p>
              </w:tc>
              <w:tc>
                <w:tcPr>
                  <w:tcW w:w="1134"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1D3E8487" w14:textId="77777777">
                  <w:pPr>
                    <w:suppressAutoHyphens w:val="0"/>
                    <w:jc w:val="center"/>
                    <w:rPr>
                      <w:rFonts w:ascii="Arial" w:hAnsi="Arial" w:eastAsia="Times New Roman" w:cs="Arial"/>
                      <w:b/>
                      <w:bCs/>
                      <w:color w:val="002060"/>
                      <w:sz w:val="18"/>
                      <w:szCs w:val="18"/>
                      <w:lang w:eastAsia="en-GB"/>
                    </w:rPr>
                  </w:pPr>
                  <w:r>
                    <w:rPr>
                      <w:rFonts w:ascii="Arial" w:hAnsi="Arial" w:eastAsia="Times New Roman" w:cs="Arial"/>
                      <w:b/>
                      <w:bCs/>
                      <w:color w:val="002060"/>
                      <w:sz w:val="18"/>
                      <w:szCs w:val="18"/>
                      <w:lang w:eastAsia="en-GB"/>
                    </w:rPr>
                    <w:t>Start Date</w:t>
                  </w:r>
                </w:p>
              </w:tc>
              <w:tc>
                <w:tcPr>
                  <w:tcW w:w="1137"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026EE465" w14:textId="77777777">
                  <w:pPr>
                    <w:suppressAutoHyphens w:val="0"/>
                    <w:jc w:val="center"/>
                    <w:rPr>
                      <w:rFonts w:ascii="Arial" w:hAnsi="Arial" w:eastAsia="Times New Roman" w:cs="Arial"/>
                      <w:b/>
                      <w:bCs/>
                      <w:color w:val="002060"/>
                      <w:sz w:val="18"/>
                      <w:szCs w:val="18"/>
                      <w:lang w:eastAsia="en-GB"/>
                    </w:rPr>
                  </w:pPr>
                  <w:r>
                    <w:rPr>
                      <w:rFonts w:ascii="Arial" w:hAnsi="Arial" w:eastAsia="Times New Roman" w:cs="Arial"/>
                      <w:b/>
                      <w:bCs/>
                      <w:color w:val="002060"/>
                      <w:sz w:val="18"/>
                      <w:szCs w:val="18"/>
                      <w:lang w:eastAsia="en-GB"/>
                    </w:rPr>
                    <w:t>End Date</w:t>
                  </w:r>
                </w:p>
              </w:tc>
            </w:tr>
            <w:tr w:rsidR="00F03C0E" w14:paraId="4F0D51FB" w14:textId="77777777">
              <w:tblPrEx>
                <w:tblCellMar>
                  <w:top w:w="0" w:type="dxa"/>
                  <w:bottom w:w="0" w:type="dxa"/>
                </w:tblCellMar>
              </w:tblPrEx>
              <w:trPr>
                <w:trHeight w:val="315"/>
              </w:trPr>
              <w:tc>
                <w:tcPr>
                  <w:tcW w:w="1156" w:type="dxa"/>
                  <w:shd w:val="clear" w:color="auto" w:fill="000000"/>
                  <w:noWrap/>
                  <w:tcMar>
                    <w:top w:w="0" w:type="dxa"/>
                    <w:left w:w="108" w:type="dxa"/>
                    <w:bottom w:w="0" w:type="dxa"/>
                    <w:right w:w="108" w:type="dxa"/>
                  </w:tcMar>
                  <w:vAlign w:val="bottom"/>
                </w:tcPr>
                <w:p w:rsidR="00F03C0E" w:rsidRDefault="00887A8A" w14:paraId="7B3BEF91" w14:textId="77777777">
                  <w:pPr>
                    <w:suppressAutoHyphens w:val="0"/>
                    <w:rPr>
                      <w:rFonts w:eastAsia="Times New Roman"/>
                      <w:lang w:eastAsia="en-GB"/>
                    </w:rPr>
                  </w:pPr>
                  <w:r>
                    <w:rPr>
                      <w:rFonts w:eastAsia="Times New Roman"/>
                      <w:lang w:eastAsia="en-GB"/>
                    </w:rPr>
                    <w:t> </w:t>
                  </w:r>
                </w:p>
              </w:tc>
              <w:tc>
                <w:tcPr>
                  <w:tcW w:w="1134" w:type="dxa"/>
                  <w:tcBorders>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45627C58" w14:textId="77777777">
                  <w:pPr>
                    <w:suppressAutoHyphens w:val="0"/>
                    <w:jc w:val="center"/>
                    <w:rPr>
                      <w:rFonts w:ascii="Arial" w:hAnsi="Arial" w:eastAsia="Times New Roman" w:cs="Arial"/>
                      <w:color w:val="002060"/>
                      <w:sz w:val="18"/>
                      <w:szCs w:val="18"/>
                      <w:lang w:eastAsia="en-GB"/>
                    </w:rPr>
                  </w:pPr>
                  <w:r>
                    <w:rPr>
                      <w:rFonts w:ascii="Arial" w:hAnsi="Arial" w:eastAsia="Times New Roman" w:cs="Arial"/>
                      <w:color w:val="002060"/>
                      <w:sz w:val="18"/>
                      <w:szCs w:val="18"/>
                      <w:lang w:eastAsia="en-GB"/>
                    </w:rPr>
                    <w:t>01-Apr-22</w:t>
                  </w:r>
                </w:p>
              </w:tc>
              <w:tc>
                <w:tcPr>
                  <w:tcW w:w="1134"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6E4920BF" w14:textId="77777777">
                  <w:pPr>
                    <w:suppressAutoHyphens w:val="0"/>
                    <w:jc w:val="center"/>
                    <w:rPr>
                      <w:rFonts w:ascii="Arial" w:hAnsi="Arial" w:eastAsia="Times New Roman" w:cs="Arial"/>
                      <w:color w:val="002060"/>
                      <w:sz w:val="18"/>
                      <w:szCs w:val="18"/>
                      <w:lang w:eastAsia="en-GB"/>
                    </w:rPr>
                  </w:pPr>
                  <w:r>
                    <w:rPr>
                      <w:rFonts w:ascii="Arial" w:hAnsi="Arial" w:eastAsia="Times New Roman" w:cs="Arial"/>
                      <w:color w:val="002060"/>
                      <w:sz w:val="18"/>
                      <w:szCs w:val="18"/>
                      <w:lang w:eastAsia="en-GB"/>
                    </w:rPr>
                    <w:t>03-Jul-22</w:t>
                  </w:r>
                </w:p>
              </w:tc>
              <w:tc>
                <w:tcPr>
                  <w:tcW w:w="1134"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067A24FE" w14:textId="77777777">
                  <w:pPr>
                    <w:suppressAutoHyphens w:val="0"/>
                    <w:jc w:val="center"/>
                    <w:rPr>
                      <w:rFonts w:ascii="Arial" w:hAnsi="Arial" w:eastAsia="Times New Roman" w:cs="Arial"/>
                      <w:color w:val="002060"/>
                      <w:sz w:val="18"/>
                      <w:szCs w:val="18"/>
                      <w:lang w:eastAsia="en-GB"/>
                    </w:rPr>
                  </w:pPr>
                  <w:r>
                    <w:rPr>
                      <w:rFonts w:ascii="Arial" w:hAnsi="Arial" w:eastAsia="Times New Roman" w:cs="Arial"/>
                      <w:color w:val="002060"/>
                      <w:sz w:val="18"/>
                      <w:szCs w:val="18"/>
                      <w:lang w:eastAsia="en-GB"/>
                    </w:rPr>
                    <w:t>01-Apr-21</w:t>
                  </w:r>
                </w:p>
              </w:tc>
              <w:tc>
                <w:tcPr>
                  <w:tcW w:w="1134"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16E9E371" w14:textId="77777777">
                  <w:pPr>
                    <w:suppressAutoHyphens w:val="0"/>
                    <w:jc w:val="center"/>
                    <w:rPr>
                      <w:rFonts w:ascii="Arial" w:hAnsi="Arial" w:eastAsia="Times New Roman" w:cs="Arial"/>
                      <w:color w:val="002060"/>
                      <w:sz w:val="18"/>
                      <w:szCs w:val="18"/>
                      <w:lang w:eastAsia="en-GB"/>
                    </w:rPr>
                  </w:pPr>
                  <w:r>
                    <w:rPr>
                      <w:rFonts w:ascii="Arial" w:hAnsi="Arial" w:eastAsia="Times New Roman" w:cs="Arial"/>
                      <w:color w:val="002060"/>
                      <w:sz w:val="18"/>
                      <w:szCs w:val="18"/>
                      <w:lang w:eastAsia="en-GB"/>
                    </w:rPr>
                    <w:t>03-Jul-21</w:t>
                  </w:r>
                </w:p>
              </w:tc>
              <w:tc>
                <w:tcPr>
                  <w:tcW w:w="1134"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25C71E40" w14:textId="77777777">
                  <w:pPr>
                    <w:suppressAutoHyphens w:val="0"/>
                    <w:jc w:val="center"/>
                    <w:rPr>
                      <w:rFonts w:ascii="Arial" w:hAnsi="Arial" w:eastAsia="Times New Roman" w:cs="Arial"/>
                      <w:color w:val="002060"/>
                      <w:sz w:val="18"/>
                      <w:szCs w:val="18"/>
                      <w:lang w:eastAsia="en-GB"/>
                    </w:rPr>
                  </w:pPr>
                  <w:r>
                    <w:rPr>
                      <w:rFonts w:ascii="Arial" w:hAnsi="Arial" w:eastAsia="Times New Roman" w:cs="Arial"/>
                      <w:color w:val="002060"/>
                      <w:sz w:val="18"/>
                      <w:szCs w:val="18"/>
                      <w:lang w:eastAsia="en-GB"/>
                    </w:rPr>
                    <w:t>01-Apr-19</w:t>
                  </w:r>
                </w:p>
              </w:tc>
              <w:tc>
                <w:tcPr>
                  <w:tcW w:w="1137" w:type="dxa"/>
                  <w:tcBorders>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62E03991" w14:textId="77777777">
                  <w:pPr>
                    <w:suppressAutoHyphens w:val="0"/>
                    <w:jc w:val="center"/>
                    <w:rPr>
                      <w:rFonts w:ascii="Arial" w:hAnsi="Arial" w:eastAsia="Times New Roman" w:cs="Arial"/>
                      <w:color w:val="002060"/>
                      <w:sz w:val="18"/>
                      <w:szCs w:val="18"/>
                      <w:lang w:eastAsia="en-GB"/>
                    </w:rPr>
                  </w:pPr>
                  <w:r>
                    <w:rPr>
                      <w:rFonts w:ascii="Arial" w:hAnsi="Arial" w:eastAsia="Times New Roman" w:cs="Arial"/>
                      <w:color w:val="002060"/>
                      <w:sz w:val="18"/>
                      <w:szCs w:val="18"/>
                      <w:lang w:eastAsia="en-GB"/>
                    </w:rPr>
                    <w:t>03-Jul-19</w:t>
                  </w:r>
                </w:p>
              </w:tc>
            </w:tr>
            <w:tr w:rsidR="00F03C0E" w14:paraId="7F5A3216" w14:textId="77777777">
              <w:tblPrEx>
                <w:tblCellMar>
                  <w:top w:w="0" w:type="dxa"/>
                  <w:bottom w:w="0" w:type="dxa"/>
                </w:tblCellMar>
              </w:tblPrEx>
              <w:trPr>
                <w:trHeight w:val="315"/>
              </w:trPr>
              <w:tc>
                <w:tcPr>
                  <w:tcW w:w="1156" w:type="dxa"/>
                  <w:shd w:val="clear" w:color="auto" w:fill="000000"/>
                  <w:noWrap/>
                  <w:tcMar>
                    <w:top w:w="0" w:type="dxa"/>
                    <w:left w:w="108" w:type="dxa"/>
                    <w:bottom w:w="0" w:type="dxa"/>
                    <w:right w:w="108" w:type="dxa"/>
                  </w:tcMar>
                  <w:vAlign w:val="bottom"/>
                </w:tcPr>
                <w:p w:rsidR="00F03C0E" w:rsidRDefault="00887A8A" w14:paraId="4D0EF003" w14:textId="77777777">
                  <w:pPr>
                    <w:suppressAutoHyphens w:val="0"/>
                    <w:rPr>
                      <w:rFonts w:eastAsia="Times New Roman"/>
                      <w:lang w:eastAsia="en-GB"/>
                    </w:rPr>
                  </w:pPr>
                  <w:r>
                    <w:rPr>
                      <w:rFonts w:eastAsia="Times New Roman"/>
                      <w:lang w:eastAsia="en-GB"/>
                    </w:rPr>
                    <w:t> </w:t>
                  </w:r>
                </w:p>
              </w:tc>
              <w:tc>
                <w:tcPr>
                  <w:tcW w:w="6807" w:type="dxa"/>
                  <w:gridSpan w:val="6"/>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rsidR="00F03C0E" w:rsidRDefault="00887A8A" w14:paraId="511A7729" w14:textId="77777777">
                  <w:pPr>
                    <w:suppressAutoHyphens w:val="0"/>
                    <w:jc w:val="center"/>
                    <w:rPr>
                      <w:rFonts w:ascii="Arial" w:hAnsi="Arial" w:eastAsia="Times New Roman" w:cs="Arial"/>
                      <w:b/>
                      <w:bCs/>
                      <w:color w:val="002060"/>
                      <w:sz w:val="20"/>
                      <w:szCs w:val="20"/>
                      <w:lang w:eastAsia="en-GB"/>
                    </w:rPr>
                  </w:pPr>
                  <w:r>
                    <w:rPr>
                      <w:rFonts w:ascii="Arial" w:hAnsi="Arial" w:eastAsia="Times New Roman" w:cs="Arial"/>
                      <w:b/>
                      <w:bCs/>
                      <w:color w:val="002060"/>
                      <w:sz w:val="20"/>
                      <w:szCs w:val="20"/>
                      <w:lang w:eastAsia="en-GB"/>
                    </w:rPr>
                    <w:t>Positive Outcomes</w:t>
                  </w:r>
                </w:p>
              </w:tc>
            </w:tr>
            <w:tr w:rsidR="00F03C0E" w14:paraId="47D82448" w14:textId="77777777">
              <w:tblPrEx>
                <w:tblCellMar>
                  <w:top w:w="0" w:type="dxa"/>
                  <w:bottom w:w="0" w:type="dxa"/>
                </w:tblCellMar>
              </w:tblPrEx>
              <w:trPr>
                <w:trHeight w:val="780"/>
              </w:trPr>
              <w:tc>
                <w:tcPr>
                  <w:tcW w:w="1156" w:type="dxa"/>
                  <w:shd w:val="clear" w:color="auto" w:fill="000000"/>
                  <w:noWrap/>
                  <w:tcMar>
                    <w:top w:w="0" w:type="dxa"/>
                    <w:left w:w="108" w:type="dxa"/>
                    <w:bottom w:w="0" w:type="dxa"/>
                    <w:right w:w="108" w:type="dxa"/>
                  </w:tcMar>
                  <w:vAlign w:val="bottom"/>
                </w:tcPr>
                <w:p w:rsidR="00F03C0E" w:rsidRDefault="00887A8A" w14:paraId="42408029" w14:textId="77777777">
                  <w:pPr>
                    <w:suppressAutoHyphens w:val="0"/>
                    <w:rPr>
                      <w:rFonts w:eastAsia="Times New Roman"/>
                      <w:lang w:eastAsia="en-GB"/>
                    </w:rPr>
                  </w:pPr>
                  <w:bookmarkStart w:name="_Hlk107939292" w:id="1"/>
                  <w:r>
                    <w:rPr>
                      <w:rFonts w:eastAsia="Times New Roman"/>
                      <w:lang w:eastAsia="en-GB"/>
                    </w:rPr>
                    <w:t> </w:t>
                  </w:r>
                </w:p>
              </w:tc>
              <w:tc>
                <w:tcPr>
                  <w:tcW w:w="1134"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3F817CA3" w14:textId="77777777">
                  <w:pPr>
                    <w:suppressAutoHyphens w:val="0"/>
                    <w:jc w:val="center"/>
                    <w:rPr>
                      <w:rFonts w:ascii="Arial" w:hAnsi="Arial" w:eastAsia="Times New Roman" w:cs="Arial"/>
                      <w:b/>
                      <w:bCs/>
                      <w:color w:val="002060"/>
                      <w:sz w:val="20"/>
                      <w:szCs w:val="20"/>
                      <w:lang w:eastAsia="en-GB"/>
                    </w:rPr>
                  </w:pPr>
                  <w:r>
                    <w:rPr>
                      <w:rFonts w:ascii="Arial" w:hAnsi="Arial" w:eastAsia="Times New Roman" w:cs="Arial"/>
                      <w:b/>
                      <w:bCs/>
                      <w:color w:val="002060"/>
                      <w:sz w:val="20"/>
                      <w:szCs w:val="20"/>
                      <w:lang w:eastAsia="en-GB"/>
                    </w:rPr>
                    <w:t xml:space="preserve">01/04/22 to </w:t>
                  </w:r>
                  <w:r>
                    <w:rPr>
                      <w:rFonts w:ascii="Arial" w:hAnsi="Arial" w:eastAsia="Times New Roman" w:cs="Arial"/>
                      <w:b/>
                      <w:bCs/>
                      <w:color w:val="002060"/>
                      <w:sz w:val="20"/>
                      <w:szCs w:val="20"/>
                      <w:lang w:eastAsia="en-GB"/>
                    </w:rPr>
                    <w:t>03/07/22</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65974796" w14:textId="77777777">
                  <w:pPr>
                    <w:suppressAutoHyphens w:val="0"/>
                    <w:jc w:val="center"/>
                    <w:rPr>
                      <w:rFonts w:ascii="Arial" w:hAnsi="Arial" w:eastAsia="Times New Roman" w:cs="Arial"/>
                      <w:b/>
                      <w:bCs/>
                      <w:color w:val="002060"/>
                      <w:sz w:val="20"/>
                      <w:szCs w:val="20"/>
                      <w:lang w:eastAsia="en-GB"/>
                    </w:rPr>
                  </w:pPr>
                  <w:r>
                    <w:rPr>
                      <w:rFonts w:ascii="Arial" w:hAnsi="Arial" w:eastAsia="Times New Roman" w:cs="Arial"/>
                      <w:b/>
                      <w:bCs/>
                      <w:color w:val="002060"/>
                      <w:sz w:val="20"/>
                      <w:szCs w:val="20"/>
                      <w:lang w:eastAsia="en-GB"/>
                    </w:rPr>
                    <w:t>%</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77A2458B" w14:textId="77777777">
                  <w:pPr>
                    <w:suppressAutoHyphens w:val="0"/>
                    <w:jc w:val="center"/>
                    <w:rPr>
                      <w:rFonts w:ascii="Arial" w:hAnsi="Arial" w:eastAsia="Times New Roman" w:cs="Arial"/>
                      <w:b/>
                      <w:bCs/>
                      <w:color w:val="002060"/>
                      <w:sz w:val="20"/>
                      <w:szCs w:val="20"/>
                      <w:lang w:eastAsia="en-GB"/>
                    </w:rPr>
                  </w:pPr>
                  <w:r>
                    <w:rPr>
                      <w:rFonts w:ascii="Arial" w:hAnsi="Arial" w:eastAsia="Times New Roman" w:cs="Arial"/>
                      <w:b/>
                      <w:bCs/>
                      <w:color w:val="002060"/>
                      <w:sz w:val="20"/>
                      <w:szCs w:val="20"/>
                      <w:lang w:eastAsia="en-GB"/>
                    </w:rPr>
                    <w:t>01/04/21 to 03/07/21</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2752CF99" w14:textId="77777777">
                  <w:pPr>
                    <w:suppressAutoHyphens w:val="0"/>
                    <w:jc w:val="center"/>
                    <w:rPr>
                      <w:rFonts w:ascii="Arial" w:hAnsi="Arial" w:eastAsia="Times New Roman" w:cs="Arial"/>
                      <w:b/>
                      <w:bCs/>
                      <w:color w:val="002060"/>
                      <w:sz w:val="20"/>
                      <w:szCs w:val="20"/>
                      <w:lang w:eastAsia="en-GB"/>
                    </w:rPr>
                  </w:pPr>
                  <w:r>
                    <w:rPr>
                      <w:rFonts w:ascii="Arial" w:hAnsi="Arial" w:eastAsia="Times New Roman" w:cs="Arial"/>
                      <w:b/>
                      <w:bCs/>
                      <w:color w:val="002060"/>
                      <w:sz w:val="20"/>
                      <w:szCs w:val="20"/>
                      <w:lang w:eastAsia="en-GB"/>
                    </w:rPr>
                    <w:t>%</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2EF2DBDA" w14:textId="77777777">
                  <w:pPr>
                    <w:suppressAutoHyphens w:val="0"/>
                    <w:jc w:val="center"/>
                    <w:rPr>
                      <w:rFonts w:ascii="Arial" w:hAnsi="Arial" w:eastAsia="Times New Roman" w:cs="Arial"/>
                      <w:b/>
                      <w:bCs/>
                      <w:color w:val="002060"/>
                      <w:sz w:val="20"/>
                      <w:szCs w:val="20"/>
                      <w:lang w:eastAsia="en-GB"/>
                    </w:rPr>
                  </w:pPr>
                  <w:r>
                    <w:rPr>
                      <w:rFonts w:ascii="Arial" w:hAnsi="Arial" w:eastAsia="Times New Roman" w:cs="Arial"/>
                      <w:b/>
                      <w:bCs/>
                      <w:color w:val="002060"/>
                      <w:sz w:val="20"/>
                      <w:szCs w:val="20"/>
                      <w:lang w:eastAsia="en-GB"/>
                    </w:rPr>
                    <w:t>01/04/19 to 03/07/19</w:t>
                  </w:r>
                </w:p>
              </w:tc>
              <w:tc>
                <w:tcPr>
                  <w:tcW w:w="1137"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35E907AC" w14:textId="77777777">
                  <w:pPr>
                    <w:suppressAutoHyphens w:val="0"/>
                    <w:jc w:val="center"/>
                    <w:rPr>
                      <w:rFonts w:ascii="Arial" w:hAnsi="Arial" w:eastAsia="Times New Roman" w:cs="Arial"/>
                      <w:b/>
                      <w:bCs/>
                      <w:color w:val="002060"/>
                      <w:sz w:val="20"/>
                      <w:szCs w:val="20"/>
                      <w:lang w:eastAsia="en-GB"/>
                    </w:rPr>
                  </w:pPr>
                  <w:r>
                    <w:rPr>
                      <w:rFonts w:ascii="Arial" w:hAnsi="Arial" w:eastAsia="Times New Roman" w:cs="Arial"/>
                      <w:b/>
                      <w:bCs/>
                      <w:color w:val="002060"/>
                      <w:sz w:val="20"/>
                      <w:szCs w:val="20"/>
                      <w:lang w:eastAsia="en-GB"/>
                    </w:rPr>
                    <w:t>%</w:t>
                  </w:r>
                </w:p>
              </w:tc>
            </w:tr>
            <w:bookmarkEnd w:id="1"/>
            <w:tr w:rsidR="00F03C0E" w14:paraId="6ABBA70F" w14:textId="77777777">
              <w:tblPrEx>
                <w:tblCellMar>
                  <w:top w:w="0" w:type="dxa"/>
                  <w:bottom w:w="0" w:type="dxa"/>
                </w:tblCellMar>
              </w:tblPrEx>
              <w:trPr>
                <w:trHeight w:val="525"/>
              </w:trPr>
              <w:tc>
                <w:tcPr>
                  <w:tcW w:w="115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49F4ACFB" w14:textId="77777777">
                  <w:pPr>
                    <w:suppressAutoHyphens w:val="0"/>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Sexual Offences</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4A9CF652" w14:textId="77777777">
                  <w:pPr>
                    <w:suppressAutoHyphens w:val="0"/>
                    <w:jc w:val="right"/>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102</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02A2792A" w14:textId="77777777">
                  <w:pPr>
                    <w:suppressAutoHyphens w:val="0"/>
                    <w:jc w:val="right"/>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10.10%</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2E0EFDC6" w14:textId="77777777">
                  <w:pPr>
                    <w:suppressAutoHyphens w:val="0"/>
                    <w:jc w:val="right"/>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76</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102A73A5" w14:textId="77777777">
                  <w:pPr>
                    <w:suppressAutoHyphens w:val="0"/>
                    <w:jc w:val="right"/>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8.70%</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47A33BD6" w14:textId="77777777">
                  <w:pPr>
                    <w:suppressAutoHyphens w:val="0"/>
                    <w:jc w:val="right"/>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80</w:t>
                  </w:r>
                </w:p>
              </w:tc>
              <w:tc>
                <w:tcPr>
                  <w:tcW w:w="1137"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5C3B51BD" w14:textId="77777777">
                  <w:pPr>
                    <w:suppressAutoHyphens w:val="0"/>
                    <w:jc w:val="right"/>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8.90%</w:t>
                  </w:r>
                </w:p>
              </w:tc>
            </w:tr>
            <w:tr w:rsidR="00F03C0E" w14:paraId="6EBE8712" w14:textId="77777777">
              <w:tblPrEx>
                <w:tblCellMar>
                  <w:top w:w="0" w:type="dxa"/>
                  <w:bottom w:w="0" w:type="dxa"/>
                </w:tblCellMar>
              </w:tblPrEx>
              <w:trPr>
                <w:trHeight w:val="315"/>
              </w:trPr>
              <w:tc>
                <w:tcPr>
                  <w:tcW w:w="1156"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3C04DDC4" w14:textId="77777777">
                  <w:pPr>
                    <w:suppressAutoHyphens w:val="0"/>
                    <w:ind w:firstLine="200"/>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Rape</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21BC7096" w14:textId="77777777">
                  <w:pPr>
                    <w:suppressAutoHyphens w:val="0"/>
                    <w:jc w:val="right"/>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27</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5537EFCD" w14:textId="77777777">
                  <w:pPr>
                    <w:suppressAutoHyphens w:val="0"/>
                    <w:jc w:val="right"/>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8.10%</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5DF765FC" w14:textId="77777777">
                  <w:pPr>
                    <w:suppressAutoHyphens w:val="0"/>
                    <w:jc w:val="right"/>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21</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77105E91" w14:textId="77777777">
                  <w:pPr>
                    <w:suppressAutoHyphens w:val="0"/>
                    <w:jc w:val="right"/>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7.40%</w:t>
                  </w:r>
                </w:p>
              </w:tc>
              <w:tc>
                <w:tcPr>
                  <w:tcW w:w="1134"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4A08E1B4" w14:textId="77777777">
                  <w:pPr>
                    <w:suppressAutoHyphens w:val="0"/>
                    <w:jc w:val="right"/>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11</w:t>
                  </w:r>
                </w:p>
              </w:tc>
              <w:tc>
                <w:tcPr>
                  <w:tcW w:w="1137"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F03C0E" w:rsidRDefault="00887A8A" w14:paraId="51C78823" w14:textId="77777777">
                  <w:pPr>
                    <w:suppressAutoHyphens w:val="0"/>
                    <w:jc w:val="right"/>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3.60%</w:t>
                  </w:r>
                </w:p>
              </w:tc>
            </w:tr>
            <w:bookmarkEnd w:id="0"/>
          </w:tbl>
          <w:p w:rsidR="00F03C0E" w:rsidRDefault="00F03C0E" w14:paraId="1E50AE02" w14:textId="77777777">
            <w:pPr>
              <w:jc w:val="both"/>
              <w:rPr>
                <w:rFonts w:ascii="Arial" w:hAnsi="Arial" w:cs="Arial"/>
              </w:rPr>
            </w:pPr>
          </w:p>
          <w:p w:rsidR="00F03C0E" w:rsidRDefault="00F03C0E" w14:paraId="18304EEE" w14:textId="77777777">
            <w:pPr>
              <w:jc w:val="both"/>
              <w:rPr>
                <w:rFonts w:ascii="Arial" w:hAnsi="Arial" w:cs="Arial"/>
              </w:rPr>
            </w:pPr>
          </w:p>
          <w:p w:rsidR="00F03C0E" w:rsidRDefault="00887A8A" w14:paraId="1050CFE3" w14:textId="77777777">
            <w:pPr>
              <w:jc w:val="both"/>
              <w:rPr>
                <w:rFonts w:ascii="Arial" w:hAnsi="Arial" w:cs="Arial"/>
              </w:rPr>
            </w:pPr>
            <w:r>
              <w:rPr>
                <w:rFonts w:ascii="Arial" w:hAnsi="Arial" w:cs="Arial"/>
              </w:rPr>
              <w:t xml:space="preserve">The chart below illustrates the mean and median scores for Adult Rape for each month and highlights the number of </w:t>
            </w:r>
            <w:r>
              <w:rPr>
                <w:rFonts w:ascii="Arial" w:hAnsi="Arial" w:cs="Arial"/>
              </w:rPr>
              <w:t>crimes per month.</w:t>
            </w:r>
          </w:p>
          <w:p w:rsidR="00F03C0E" w:rsidRDefault="00887A8A" w14:paraId="0743FFA0" w14:textId="77777777">
            <w:pPr>
              <w:jc w:val="both"/>
              <w:rPr>
                <w:rFonts w:ascii="Arial" w:hAnsi="Arial" w:cs="Arial"/>
              </w:rPr>
            </w:pPr>
            <w:r>
              <w:rPr>
                <w:rFonts w:ascii="Arial" w:hAnsi="Arial" w:cs="Arial"/>
              </w:rPr>
              <w:t>The graph is projecting timeliness of investigations and clearly shows the decrease following improvements and focus having been implemented in this area. This area of performance is continuously monitored through the below processes:</w:t>
            </w:r>
          </w:p>
          <w:p w:rsidR="00F03C0E" w:rsidRDefault="00F03C0E" w14:paraId="56B24D87" w14:textId="77777777">
            <w:pPr>
              <w:jc w:val="both"/>
              <w:rPr>
                <w:rFonts w:ascii="Arial" w:hAnsi="Arial" w:cs="Arial"/>
              </w:rPr>
            </w:pPr>
          </w:p>
          <w:p w:rsidR="00F03C0E" w:rsidRDefault="00887A8A" w14:paraId="11551AEC" w14:textId="77777777">
            <w:pPr>
              <w:pStyle w:val="ListParagraph"/>
              <w:numPr>
                <w:ilvl w:val="0"/>
                <w:numId w:val="1"/>
              </w:numPr>
              <w:rPr>
                <w:rFonts w:ascii="Arial" w:hAnsi="Arial" w:eastAsia="Times New Roman" w:cs="Arial"/>
              </w:rPr>
            </w:pPr>
            <w:r>
              <w:rPr>
                <w:rFonts w:ascii="Arial" w:hAnsi="Arial" w:eastAsia="Times New Roman" w:cs="Arial"/>
              </w:rPr>
              <w:t>Mo</w:t>
            </w:r>
            <w:r>
              <w:rPr>
                <w:rFonts w:ascii="Arial" w:hAnsi="Arial" w:eastAsia="Times New Roman" w:cs="Arial"/>
              </w:rPr>
              <w:t xml:space="preserve">nthly Scrutiny panels chaired by RASSO DI lead, the panel reviews all Adult Rape cases 365 days plus to ensure that investigations are being progressed in a timely manner and appropriate resourcing is allocated. </w:t>
            </w:r>
          </w:p>
          <w:p w:rsidR="00F03C0E" w:rsidRDefault="00887A8A" w14:paraId="08F69246" w14:textId="77777777">
            <w:pPr>
              <w:pStyle w:val="ListParagraph"/>
              <w:numPr>
                <w:ilvl w:val="0"/>
                <w:numId w:val="1"/>
              </w:numPr>
              <w:rPr>
                <w:rFonts w:ascii="Arial" w:hAnsi="Arial" w:eastAsia="Times New Roman" w:cs="Arial"/>
              </w:rPr>
            </w:pPr>
            <w:r>
              <w:rPr>
                <w:rFonts w:ascii="Arial" w:hAnsi="Arial" w:eastAsia="Times New Roman" w:cs="Arial"/>
              </w:rPr>
              <w:t xml:space="preserve">Further scrutiny work is conducted through </w:t>
            </w:r>
            <w:r>
              <w:rPr>
                <w:rFonts w:ascii="Arial" w:hAnsi="Arial" w:eastAsia="Times New Roman" w:cs="Arial"/>
              </w:rPr>
              <w:t>monthly RASSO MI data which details those cases now of 365 plus days by DCI lead.</w:t>
            </w:r>
          </w:p>
          <w:p w:rsidR="00F03C0E" w:rsidRDefault="00887A8A" w14:paraId="7656464B" w14:textId="77777777">
            <w:pPr>
              <w:pStyle w:val="ListParagraph"/>
              <w:numPr>
                <w:ilvl w:val="0"/>
                <w:numId w:val="1"/>
              </w:numPr>
              <w:rPr>
                <w:rFonts w:ascii="Arial" w:hAnsi="Arial" w:eastAsia="Times New Roman" w:cs="Arial"/>
              </w:rPr>
            </w:pPr>
            <w:r>
              <w:rPr>
                <w:rFonts w:ascii="Arial" w:hAnsi="Arial" w:eastAsia="Times New Roman" w:cs="Arial"/>
              </w:rPr>
              <w:t>Public Protection departmental performance meetings are held monthly and chaired by Superintendent and again data is reviewed.</w:t>
            </w:r>
          </w:p>
          <w:p w:rsidR="00F03C0E" w:rsidRDefault="00887A8A" w14:paraId="66D3944B" w14:textId="77777777">
            <w:pPr>
              <w:pStyle w:val="ListParagraph"/>
              <w:numPr>
                <w:ilvl w:val="0"/>
                <w:numId w:val="1"/>
              </w:numPr>
              <w:rPr>
                <w:rFonts w:ascii="Arial" w:hAnsi="Arial" w:eastAsia="Times New Roman" w:cs="Arial"/>
              </w:rPr>
            </w:pPr>
            <w:r>
              <w:rPr>
                <w:rFonts w:ascii="Arial" w:hAnsi="Arial" w:eastAsia="Times New Roman" w:cs="Arial"/>
              </w:rPr>
              <w:t>Force OPR meetings are held monthly whereby thi</w:t>
            </w:r>
            <w:r>
              <w:rPr>
                <w:rFonts w:ascii="Arial" w:hAnsi="Arial" w:eastAsia="Times New Roman" w:cs="Arial"/>
              </w:rPr>
              <w:t>s is scrutinised and reviewed by ACC Griffin.</w:t>
            </w:r>
          </w:p>
          <w:p w:rsidR="00F03C0E" w:rsidRDefault="00F03C0E" w14:paraId="5DECF48F" w14:textId="77777777">
            <w:pPr>
              <w:rPr>
                <w:rFonts w:ascii="Arial" w:hAnsi="Arial" w:eastAsia="Times New Roman" w:cs="Arial"/>
              </w:rPr>
            </w:pPr>
          </w:p>
          <w:p w:rsidR="00F03C0E" w:rsidRDefault="00F03C0E" w14:paraId="666F00B1" w14:textId="77777777">
            <w:pPr>
              <w:jc w:val="both"/>
            </w:pPr>
          </w:p>
          <w:p w:rsidR="00F03C0E" w:rsidRDefault="00F03C0E" w14:paraId="4B7A71F9" w14:textId="77777777">
            <w:pPr>
              <w:jc w:val="both"/>
            </w:pPr>
          </w:p>
          <w:p w:rsidR="00F03C0E" w:rsidRDefault="00F03C0E" w14:paraId="337337F9" w14:textId="77777777">
            <w:pPr>
              <w:jc w:val="both"/>
            </w:pPr>
          </w:p>
          <w:p w:rsidR="00F03C0E" w:rsidRDefault="00F03C0E" w14:paraId="66370F1E" w14:textId="77777777">
            <w:pPr>
              <w:jc w:val="both"/>
            </w:pPr>
          </w:p>
          <w:p w:rsidR="00F03C0E" w:rsidRDefault="00F03C0E" w14:paraId="694BCC8F" w14:textId="77777777">
            <w:pPr>
              <w:jc w:val="both"/>
            </w:pPr>
          </w:p>
          <w:p w:rsidR="00F03C0E" w:rsidRDefault="00F03C0E" w14:paraId="1BF381E9" w14:textId="77777777">
            <w:pPr>
              <w:jc w:val="both"/>
            </w:pPr>
          </w:p>
          <w:p w:rsidR="00F03C0E" w:rsidRDefault="00F03C0E" w14:paraId="67CB9A10" w14:textId="77777777">
            <w:pPr>
              <w:jc w:val="both"/>
            </w:pPr>
          </w:p>
          <w:p w:rsidR="00F03C0E" w:rsidRDefault="00F03C0E" w14:paraId="08E25087" w14:textId="77777777">
            <w:pPr>
              <w:jc w:val="both"/>
            </w:pPr>
          </w:p>
          <w:p w:rsidR="00F03C0E" w:rsidRDefault="00F03C0E" w14:paraId="6D37F00E" w14:textId="77777777">
            <w:pPr>
              <w:jc w:val="both"/>
            </w:pPr>
          </w:p>
          <w:p w:rsidR="00F03C0E" w:rsidRDefault="00F03C0E" w14:paraId="16013EF3" w14:textId="77777777">
            <w:pPr>
              <w:jc w:val="both"/>
            </w:pPr>
          </w:p>
          <w:p w:rsidR="00F03C0E" w:rsidRDefault="00F03C0E" w14:paraId="48D8BF7A" w14:textId="77777777">
            <w:pPr>
              <w:jc w:val="both"/>
            </w:pPr>
          </w:p>
          <w:p w:rsidR="00F03C0E" w:rsidRDefault="00F03C0E" w14:paraId="3E3684EF" w14:textId="77777777">
            <w:pPr>
              <w:jc w:val="both"/>
              <w:rPr>
                <w:rFonts w:ascii="Arial" w:hAnsi="Arial" w:cs="Arial"/>
              </w:rPr>
            </w:pPr>
          </w:p>
          <w:p w:rsidR="00F03C0E" w:rsidRDefault="00887A8A" w14:paraId="4C96A7F4" w14:textId="77777777">
            <w:pPr>
              <w:jc w:val="both"/>
            </w:pPr>
            <w:r>
              <w:rPr>
                <w:noProof/>
              </w:rPr>
              <w:drawing>
                <wp:inline distT="0" distB="0" distL="0" distR="0" wp14:anchorId="563039A0" wp14:editId="131F8D17">
                  <wp:extent cx="6172200" cy="3743325"/>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3C0E" w:rsidRDefault="00887A8A" w14:paraId="4AB62165" w14:textId="77777777">
            <w:pPr>
              <w:jc w:val="both"/>
            </w:pPr>
            <w:r>
              <w:rPr>
                <w:noProof/>
                <w:sz w:val="16"/>
                <w:szCs w:val="16"/>
              </w:rPr>
              <w:drawing>
                <wp:inline distT="0" distB="0" distL="0" distR="0" wp14:anchorId="3C74564A" wp14:editId="561F31CB">
                  <wp:extent cx="3162296" cy="333371"/>
                  <wp:effectExtent l="0" t="0" r="4" b="0"/>
                  <wp:docPr id="7"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62296" cy="333371"/>
                          </a:xfrm>
                          <a:prstGeom prst="rect">
                            <a:avLst/>
                          </a:prstGeom>
                          <a:noFill/>
                          <a:ln>
                            <a:noFill/>
                            <a:prstDash/>
                          </a:ln>
                        </pic:spPr>
                      </pic:pic>
                    </a:graphicData>
                  </a:graphic>
                </wp:inline>
              </w:drawing>
            </w:r>
          </w:p>
          <w:p w:rsidR="00F03C0E" w:rsidRDefault="00887A8A" w14:paraId="482BECCB" w14:textId="77777777">
            <w:pPr>
              <w:jc w:val="both"/>
              <w:rPr>
                <w:rFonts w:ascii="Arial" w:hAnsi="Arial" w:cs="Arial"/>
              </w:rPr>
            </w:pPr>
            <w:r>
              <w:rPr>
                <w:rFonts w:ascii="Arial" w:hAnsi="Arial" w:cs="Arial"/>
              </w:rPr>
              <w:t>March = 5 rape offences charged</w:t>
            </w:r>
          </w:p>
          <w:p w:rsidR="00F03C0E" w:rsidRDefault="00887A8A" w14:paraId="5827FE10" w14:textId="77777777">
            <w:pPr>
              <w:jc w:val="both"/>
              <w:rPr>
                <w:rFonts w:ascii="Arial" w:hAnsi="Arial" w:cs="Arial"/>
              </w:rPr>
            </w:pPr>
            <w:r>
              <w:rPr>
                <w:rFonts w:ascii="Arial" w:hAnsi="Arial" w:cs="Arial"/>
              </w:rPr>
              <w:t>April    = 9 rape offences charged</w:t>
            </w:r>
          </w:p>
          <w:p w:rsidR="00F03C0E" w:rsidRDefault="00887A8A" w14:paraId="114A8F3F" w14:textId="77777777">
            <w:pPr>
              <w:jc w:val="both"/>
              <w:rPr>
                <w:rFonts w:ascii="Arial" w:hAnsi="Arial" w:cs="Arial"/>
              </w:rPr>
            </w:pPr>
            <w:r>
              <w:rPr>
                <w:rFonts w:ascii="Arial" w:hAnsi="Arial" w:cs="Arial"/>
              </w:rPr>
              <w:t>May    = 8 rape offences charged</w:t>
            </w:r>
          </w:p>
          <w:p w:rsidR="00F03C0E" w:rsidRDefault="00887A8A" w14:paraId="746618C9" w14:textId="77777777">
            <w:pPr>
              <w:jc w:val="both"/>
              <w:rPr>
                <w:rFonts w:ascii="Arial" w:hAnsi="Arial" w:cs="Arial"/>
              </w:rPr>
            </w:pPr>
            <w:r>
              <w:rPr>
                <w:rFonts w:ascii="Arial" w:hAnsi="Arial" w:cs="Arial"/>
              </w:rPr>
              <w:t>June   = 2 rape offences charged</w:t>
            </w:r>
          </w:p>
          <w:p w:rsidR="00F03C0E" w:rsidRDefault="00F03C0E" w14:paraId="0BD1BA01" w14:textId="77777777">
            <w:pPr>
              <w:jc w:val="both"/>
              <w:rPr>
                <w:rFonts w:ascii="Arial" w:hAnsi="Arial" w:cs="Arial"/>
              </w:rPr>
            </w:pPr>
          </w:p>
          <w:p w:rsidR="00F03C0E" w:rsidRDefault="00F03C0E" w14:paraId="07D969E5" w14:textId="77777777"/>
          <w:p w:rsidR="00F03C0E" w:rsidRDefault="00F03C0E" w14:paraId="3AC02C24" w14:textId="77777777">
            <w:pPr>
              <w:jc w:val="center"/>
              <w:rPr>
                <w:b/>
                <w:bCs/>
                <w:u w:val="single"/>
              </w:rPr>
            </w:pPr>
          </w:p>
          <w:p w:rsidR="00F03C0E" w:rsidRDefault="00887A8A" w14:paraId="796A3286" w14:textId="77777777">
            <w:pPr>
              <w:jc w:val="center"/>
              <w:rPr>
                <w:b/>
                <w:bCs/>
                <w:u w:val="single"/>
              </w:rPr>
            </w:pPr>
            <w:r>
              <w:rPr>
                <w:b/>
                <w:bCs/>
                <w:u w:val="single"/>
              </w:rPr>
              <w:t xml:space="preserve">Quarterly Figures from Q2 2021 – 2022 – file </w:t>
            </w:r>
            <w:r>
              <w:rPr>
                <w:b/>
                <w:bCs/>
                <w:u w:val="single"/>
              </w:rPr>
              <w:t>submission and CJ process</w:t>
            </w:r>
          </w:p>
          <w:p w:rsidR="00F03C0E" w:rsidRDefault="00F03C0E" w14:paraId="7A212986" w14:textId="77777777">
            <w:pPr>
              <w:jc w:val="both"/>
              <w:rPr>
                <w:rFonts w:ascii="Arial" w:hAnsi="Arial" w:cs="Arial"/>
              </w:rPr>
            </w:pPr>
          </w:p>
          <w:p w:rsidR="00F03C0E" w:rsidRDefault="00F03C0E" w14:paraId="6542FAC7" w14:textId="77777777">
            <w:pPr>
              <w:jc w:val="both"/>
              <w:rPr>
                <w:rFonts w:ascii="Arial" w:hAnsi="Arial" w:cs="Arial"/>
              </w:rPr>
            </w:pPr>
          </w:p>
          <w:tbl>
            <w:tblPr>
              <w:tblW w:w="9710" w:type="dxa"/>
              <w:tblCellMar>
                <w:left w:w="10" w:type="dxa"/>
                <w:right w:w="10" w:type="dxa"/>
              </w:tblCellMar>
              <w:tblLook w:val="04A0" w:firstRow="1" w:lastRow="0" w:firstColumn="1" w:lastColumn="0" w:noHBand="0" w:noVBand="1"/>
            </w:tblPr>
            <w:tblGrid>
              <w:gridCol w:w="2830"/>
              <w:gridCol w:w="1134"/>
              <w:gridCol w:w="1134"/>
              <w:gridCol w:w="1125"/>
              <w:gridCol w:w="1224"/>
              <w:gridCol w:w="2263"/>
            </w:tblGrid>
            <w:tr w:rsidR="00F03C0E" w14:paraId="765F261F" w14:textId="77777777">
              <w:tblPrEx>
                <w:tblCellMar>
                  <w:top w:w="0" w:type="dxa"/>
                  <w:bottom w:w="0" w:type="dxa"/>
                </w:tblCellMar>
              </w:tblPrEx>
              <w:tc>
                <w:tcPr>
                  <w:tcW w:w="28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F03C0E" w14:paraId="559BA34C" w14:textId="77777777"/>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4ED46FE1" w14:textId="77777777">
                  <w:pPr>
                    <w:jc w:val="center"/>
                  </w:pPr>
                  <w:r>
                    <w:t>21/22 – Q2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46D4D957" w14:textId="77777777">
                  <w:pPr>
                    <w:jc w:val="center"/>
                  </w:pPr>
                  <w:r>
                    <w:t>21/22 – Q3</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6EA2A6D5" w14:textId="77777777">
                  <w:pPr>
                    <w:jc w:val="center"/>
                  </w:pPr>
                  <w:r>
                    <w:t>21/22 – Q4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70E73D7A" w14:textId="77777777">
                  <w:pPr>
                    <w:jc w:val="center"/>
                  </w:pPr>
                  <w:r>
                    <w:t>22/22 – Q1 (April only)</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722E5426" w14:textId="77777777">
                  <w:pPr>
                    <w:jc w:val="center"/>
                  </w:pPr>
                  <w:r>
                    <w:t>National Ranking</w:t>
                  </w:r>
                </w:p>
              </w:tc>
            </w:tr>
            <w:tr w:rsidR="00F03C0E" w14:paraId="5EEA08EE" w14:textId="77777777">
              <w:tblPrEx>
                <w:tblCellMar>
                  <w:top w:w="0" w:type="dxa"/>
                  <w:bottom w:w="0" w:type="dxa"/>
                </w:tblCellMar>
              </w:tblPrEx>
              <w:tc>
                <w:tcPr>
                  <w:tcW w:w="28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3B4657E4" w14:textId="77777777">
                  <w:r>
                    <w:t>Passing first Admin triage</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14A69D92" w14:textId="77777777">
                  <w:pPr>
                    <w:jc w:val="center"/>
                  </w:pPr>
                  <w:r>
                    <w:t>56.4%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56F7B86A" w14:textId="77777777">
                  <w:pPr>
                    <w:jc w:val="center"/>
                  </w:pPr>
                  <w:r>
                    <w:t>62.2%</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786A9432" w14:textId="77777777">
                  <w:pPr>
                    <w:jc w:val="center"/>
                  </w:pPr>
                  <w:r>
                    <w:t>75.0%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2BC42C44" w14:textId="77777777">
                  <w:pPr>
                    <w:jc w:val="center"/>
                  </w:pPr>
                  <w:r>
                    <w:t>66.7%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1FE2E7F9" w14:textId="77777777">
                  <w:pPr>
                    <w:jc w:val="center"/>
                  </w:pPr>
                  <w:r>
                    <w:t>19</w:t>
                  </w:r>
                </w:p>
              </w:tc>
            </w:tr>
            <w:tr w:rsidR="00F03C0E" w14:paraId="53EDFC45" w14:textId="77777777">
              <w:tblPrEx>
                <w:tblCellMar>
                  <w:top w:w="0" w:type="dxa"/>
                  <w:bottom w:w="0" w:type="dxa"/>
                </w:tblCellMar>
              </w:tblPrEx>
              <w:tc>
                <w:tcPr>
                  <w:tcW w:w="28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53658B9E" w14:textId="77777777">
                  <w:r>
                    <w:t>Average number of admin triages per file</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79AA2195" w14:textId="77777777">
                  <w:pPr>
                    <w:jc w:val="center"/>
                  </w:pPr>
                  <w:r>
                    <w:t>1.45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0ED754A2" w14:textId="77777777">
                  <w:pPr>
                    <w:jc w:val="center"/>
                  </w:pPr>
                  <w:r>
                    <w:t>1.66</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75D675EF" w14:textId="77777777">
                  <w:pPr>
                    <w:jc w:val="center"/>
                  </w:pPr>
                  <w:r>
                    <w:t>1.41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3F773CAC" w14:textId="77777777">
                  <w:pPr>
                    <w:jc w:val="center"/>
                  </w:pPr>
                  <w:r>
                    <w:t>1.38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5C5F6D39" w14:textId="77777777">
                  <w:pPr>
                    <w:jc w:val="center"/>
                  </w:pPr>
                  <w:r>
                    <w:t>10</w:t>
                  </w:r>
                </w:p>
              </w:tc>
            </w:tr>
            <w:tr w:rsidR="00F03C0E" w14:paraId="63A9B232" w14:textId="77777777">
              <w:tblPrEx>
                <w:tblCellMar>
                  <w:top w:w="0" w:type="dxa"/>
                  <w:bottom w:w="0" w:type="dxa"/>
                </w:tblCellMar>
              </w:tblPrEx>
              <w:tc>
                <w:tcPr>
                  <w:tcW w:w="28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6BF3D7BA" w14:textId="77777777">
                  <w:r>
                    <w:t xml:space="preserve">Average number of lawyer </w:t>
                  </w:r>
                  <w:r>
                    <w:t>reviews per file</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04A7F3A9" w14:textId="77777777">
                  <w:pPr>
                    <w:jc w:val="center"/>
                  </w:pPr>
                  <w:r>
                    <w:t>2.77</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3A3B3BE3" w14:textId="77777777">
                  <w:pPr>
                    <w:jc w:val="center"/>
                  </w:pPr>
                  <w:r>
                    <w:t>2.39</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0D7554BA" w14:textId="77777777">
                  <w:pPr>
                    <w:jc w:val="center"/>
                  </w:pPr>
                  <w:r>
                    <w:t>2.78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69400E34" w14:textId="77777777">
                  <w:pPr>
                    <w:jc w:val="center"/>
                  </w:pPr>
                  <w:r>
                    <w:t>3.54</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596DC84A" w14:textId="77777777">
                  <w:pPr>
                    <w:jc w:val="center"/>
                  </w:pPr>
                  <w:r>
                    <w:t>43</w:t>
                  </w:r>
                </w:p>
              </w:tc>
            </w:tr>
            <w:tr w:rsidR="00F03C0E" w14:paraId="04889C5F" w14:textId="77777777">
              <w:tblPrEx>
                <w:tblCellMar>
                  <w:top w:w="0" w:type="dxa"/>
                  <w:bottom w:w="0" w:type="dxa"/>
                </w:tblCellMar>
              </w:tblPrEx>
              <w:tc>
                <w:tcPr>
                  <w:tcW w:w="28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002616EA" w14:textId="77777777">
                  <w:r>
                    <w:t>Charge Rate</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5049ADF4" w14:textId="77777777">
                  <w:pPr>
                    <w:jc w:val="center"/>
                  </w:pPr>
                  <w:r>
                    <w:t>87.2%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35A34428" w14:textId="77777777">
                  <w:pPr>
                    <w:jc w:val="center"/>
                  </w:pPr>
                  <w:r>
                    <w:t>77.8%</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537A8494" w14:textId="77777777">
                  <w:pPr>
                    <w:jc w:val="center"/>
                  </w:pPr>
                  <w:r>
                    <w:t>62.7%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1E3CF7A3" w14:textId="77777777">
                  <w:pPr>
                    <w:jc w:val="center"/>
                  </w:pPr>
                  <w:r>
                    <w:t>69.2%</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23F4E1D6" w14:textId="77777777">
                  <w:pPr>
                    <w:jc w:val="center"/>
                  </w:pPr>
                  <w:r>
                    <w:t>13</w:t>
                  </w:r>
                </w:p>
              </w:tc>
            </w:tr>
            <w:tr w:rsidR="00F03C0E" w14:paraId="41B3C209" w14:textId="77777777">
              <w:tblPrEx>
                <w:tblCellMar>
                  <w:top w:w="0" w:type="dxa"/>
                  <w:bottom w:w="0" w:type="dxa"/>
                </w:tblCellMar>
              </w:tblPrEx>
              <w:tc>
                <w:tcPr>
                  <w:tcW w:w="28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07E3A2E2" w14:textId="77777777">
                  <w:r>
                    <w:t>NFA</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42EC7EAF" w14:textId="77777777">
                  <w:pPr>
                    <w:jc w:val="center"/>
                  </w:pPr>
                  <w:r>
                    <w:t>12.8%</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05C4DD77" w14:textId="77777777">
                  <w:pPr>
                    <w:jc w:val="center"/>
                  </w:pPr>
                  <w:r>
                    <w:t>16.7%</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6C70C232" w14:textId="77777777">
                  <w:pPr>
                    <w:jc w:val="center"/>
                  </w:pPr>
                  <w:r>
                    <w:t>21.6%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3CD6D932" w14:textId="77777777">
                  <w:pPr>
                    <w:jc w:val="center"/>
                  </w:pPr>
                  <w:r>
                    <w:t>30.8%</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195735B3" w14:textId="77777777">
                  <w:pPr>
                    <w:jc w:val="center"/>
                  </w:pPr>
                  <w:r>
                    <w:t>32</w:t>
                  </w:r>
                </w:p>
              </w:tc>
            </w:tr>
            <w:tr w:rsidR="00F03C0E" w14:paraId="3A4AEA8C" w14:textId="77777777">
              <w:tblPrEx>
                <w:tblCellMar>
                  <w:top w:w="0" w:type="dxa"/>
                  <w:bottom w:w="0" w:type="dxa"/>
                </w:tblCellMar>
              </w:tblPrEx>
              <w:tc>
                <w:tcPr>
                  <w:tcW w:w="28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28279AFA" w14:textId="77777777">
                  <w:r>
                    <w:t>Further investigation Awaited</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12713C25" w14:textId="77777777">
                  <w:pPr>
                    <w:jc w:val="center"/>
                  </w:pPr>
                  <w:r>
                    <w:t>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1D1D0A52" w14:textId="77777777">
                  <w:pPr>
                    <w:jc w:val="center"/>
                  </w:pPr>
                  <w:r>
                    <w:t>5.6%</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7E21AC13" w14:textId="77777777">
                  <w:pPr>
                    <w:jc w:val="center"/>
                  </w:pPr>
                  <w:r>
                    <w:t>13.7%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6CD34F42" w14:textId="77777777">
                  <w:pPr>
                    <w:jc w:val="center"/>
                  </w:pPr>
                  <w:r>
                    <w:t>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019488A6" w14:textId="77777777">
                  <w:pPr>
                    <w:jc w:val="center"/>
                  </w:pPr>
                  <w:r>
                    <w:t>1</w:t>
                  </w:r>
                </w:p>
              </w:tc>
            </w:tr>
            <w:tr w:rsidR="00F03C0E" w14:paraId="6361E0D5" w14:textId="77777777">
              <w:tblPrEx>
                <w:tblCellMar>
                  <w:top w:w="0" w:type="dxa"/>
                  <w:bottom w:w="0" w:type="dxa"/>
                </w:tblCellMar>
              </w:tblPrEx>
              <w:tc>
                <w:tcPr>
                  <w:tcW w:w="28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6714D712" w14:textId="77777777">
                  <w:proofErr w:type="gramStart"/>
                  <w:r>
                    <w:t>Admin  -</w:t>
                  </w:r>
                  <w:proofErr w:type="gramEnd"/>
                  <w:r>
                    <w:t xml:space="preserve"> other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258BCD85" w14:textId="77777777">
                  <w:pPr>
                    <w:jc w:val="center"/>
                  </w:pPr>
                  <w:r>
                    <w:t>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7F582414" w14:textId="77777777">
                  <w:pPr>
                    <w:jc w:val="center"/>
                  </w:pPr>
                  <w: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736D1F61" w14:textId="77777777">
                  <w:pPr>
                    <w:jc w:val="center"/>
                  </w:pPr>
                  <w:r>
                    <w:t>2.0%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3C59BFDA" w14:textId="77777777">
                  <w:pPr>
                    <w:jc w:val="center"/>
                  </w:pPr>
                  <w:r>
                    <w:t>0%</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5A21F286" w14:textId="77777777">
                  <w:pPr>
                    <w:jc w:val="center"/>
                  </w:pPr>
                  <w:r>
                    <w:t>0</w:t>
                  </w:r>
                </w:p>
              </w:tc>
            </w:tr>
            <w:tr w:rsidR="00F03C0E" w14:paraId="4E13F5C8" w14:textId="77777777">
              <w:tblPrEx>
                <w:tblCellMar>
                  <w:top w:w="0" w:type="dxa"/>
                  <w:bottom w:w="0" w:type="dxa"/>
                </w:tblCellMar>
              </w:tblPrEx>
              <w:tc>
                <w:tcPr>
                  <w:tcW w:w="28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3CFB49A2" w14:textId="77777777">
                  <w:r>
                    <w:t>Action Plans</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0F44A82B" w14:textId="77777777">
                  <w:pPr>
                    <w:jc w:val="center"/>
                  </w:pPr>
                  <w:r>
                    <w:t>63.0%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57F424B4" w14:textId="77777777">
                  <w:pPr>
                    <w:jc w:val="center"/>
                  </w:pPr>
                  <w:r>
                    <w:t>72.3%</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4C30F83D" w14:textId="77777777">
                  <w:pPr>
                    <w:jc w:val="center"/>
                  </w:pPr>
                  <w:r>
                    <w:t>57.4%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0DB016C0" w14:textId="77777777">
                  <w:pPr>
                    <w:jc w:val="center"/>
                  </w:pPr>
                  <w:r>
                    <w:t>66.7%</w:t>
                  </w:r>
                </w:p>
              </w:tc>
              <w:tc>
                <w:tcPr>
                  <w:tcW w:w="226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F03C0E" w:rsidRDefault="00887A8A" w14:paraId="37658E61" w14:textId="77777777">
                  <w:pPr>
                    <w:jc w:val="center"/>
                  </w:pPr>
                  <w:r>
                    <w:t>31</w:t>
                  </w:r>
                </w:p>
              </w:tc>
            </w:tr>
          </w:tbl>
          <w:p w:rsidR="00F03C0E" w:rsidRDefault="00F03C0E" w14:paraId="6EC8CBA0" w14:textId="77777777">
            <w:pPr>
              <w:jc w:val="both"/>
              <w:rPr>
                <w:rFonts w:ascii="Arial" w:hAnsi="Arial" w:cs="Arial"/>
                <w:shd w:val="clear" w:color="auto" w:fill="FFFF00"/>
              </w:rPr>
            </w:pPr>
          </w:p>
          <w:p w:rsidR="00F03C0E" w:rsidRDefault="00F03C0E" w14:paraId="2838AE64" w14:textId="77777777">
            <w:pPr>
              <w:jc w:val="both"/>
            </w:pPr>
          </w:p>
          <w:p w:rsidR="00F03C0E" w:rsidRDefault="00887A8A" w14:paraId="2186F025" w14:textId="77777777">
            <w:pPr>
              <w:jc w:val="both"/>
              <w:rPr>
                <w:rFonts w:ascii="Arial" w:hAnsi="Arial" w:cs="Arial"/>
              </w:rPr>
            </w:pPr>
            <w:r>
              <w:rPr>
                <w:rFonts w:ascii="Arial" w:hAnsi="Arial" w:cs="Arial"/>
              </w:rPr>
              <w:t xml:space="preserve">We have been </w:t>
            </w:r>
            <w:r>
              <w:rPr>
                <w:rFonts w:ascii="Arial" w:hAnsi="Arial" w:cs="Arial"/>
              </w:rPr>
              <w:t xml:space="preserve">working closely with CPS to improve file quality and the number of RASSO action plans. This performance is managed through monthly JOIM meetings with senior CPS RASSO leads. </w:t>
            </w:r>
            <w:r>
              <w:rPr>
                <w:rFonts w:ascii="Arial" w:hAnsi="Arial" w:cs="Arial"/>
              </w:rPr>
              <w:lastRenderedPageBreak/>
              <w:t>Nottinghamshire have made significant improvements with regards to their file qual</w:t>
            </w:r>
            <w:r>
              <w:rPr>
                <w:rFonts w:ascii="Arial" w:hAnsi="Arial" w:cs="Arial"/>
              </w:rPr>
              <w:t>ity and to ensure that files are accepted upon first submissions thus reducing action plans. Results of which are reflective above in both the average number of admin triages per file (National ranking at No10) and the charge rate (National ranking at No 1</w:t>
            </w:r>
            <w:r>
              <w:rPr>
                <w:rFonts w:ascii="Arial" w:hAnsi="Arial" w:cs="Arial"/>
              </w:rPr>
              <w:t>3).</w:t>
            </w:r>
          </w:p>
          <w:p w:rsidR="00F03C0E" w:rsidRDefault="00F03C0E" w14:paraId="50B78FA9" w14:textId="77777777">
            <w:pPr>
              <w:jc w:val="both"/>
              <w:rPr>
                <w:rFonts w:ascii="Arial" w:hAnsi="Arial" w:cs="Arial"/>
              </w:rPr>
            </w:pPr>
          </w:p>
          <w:p w:rsidR="00F03C0E" w:rsidRDefault="00887A8A" w14:paraId="2D0F2687" w14:textId="77777777">
            <w:pPr>
              <w:jc w:val="both"/>
              <w:rPr>
                <w:rFonts w:ascii="Arial" w:hAnsi="Arial" w:cs="Arial"/>
              </w:rPr>
            </w:pPr>
            <w:r>
              <w:rPr>
                <w:rFonts w:ascii="Arial" w:hAnsi="Arial" w:cs="Arial"/>
              </w:rPr>
              <w:t>Together with CPS leads we aim to reduce the average number of lawyer reviews per file (which subsequently impacts on action plans) with further training in relation to early advice meetings.  A regional joint conference with police and CPS is planned</w:t>
            </w:r>
            <w:r>
              <w:rPr>
                <w:rFonts w:ascii="Arial" w:hAnsi="Arial" w:cs="Arial"/>
              </w:rPr>
              <w:t xml:space="preserve"> for October 2022 and this will form one of the learning and development areas for both Police and CPS.</w:t>
            </w:r>
          </w:p>
          <w:p w:rsidR="00F03C0E" w:rsidRDefault="00F03C0E" w14:paraId="3945E49B" w14:textId="77777777">
            <w:pPr>
              <w:jc w:val="both"/>
              <w:rPr>
                <w:rFonts w:ascii="Arial" w:hAnsi="Arial" w:cs="Arial"/>
              </w:rPr>
            </w:pPr>
          </w:p>
          <w:p w:rsidR="00F03C0E" w:rsidRDefault="00887A8A" w14:paraId="495FE6CC" w14:textId="77777777">
            <w:pPr>
              <w:jc w:val="both"/>
              <w:rPr>
                <w:rFonts w:ascii="Arial" w:hAnsi="Arial" w:cs="Arial"/>
              </w:rPr>
            </w:pPr>
            <w:r>
              <w:rPr>
                <w:rFonts w:ascii="Arial" w:hAnsi="Arial" w:cs="Arial"/>
              </w:rPr>
              <w:t>All investigations that are filed with ‘no further action (NFA)’ are reviewed by a Detective Inspector prior to being closed.  All victims in these cas</w:t>
            </w:r>
            <w:r>
              <w:rPr>
                <w:rFonts w:ascii="Arial" w:hAnsi="Arial" w:cs="Arial"/>
              </w:rPr>
              <w:t xml:space="preserve">es are offered the right to appeal and have a consultation with the relevant Detective Inspector, if the decision is made by </w:t>
            </w:r>
            <w:proofErr w:type="gramStart"/>
            <w:r>
              <w:rPr>
                <w:rFonts w:ascii="Arial" w:hAnsi="Arial" w:cs="Arial"/>
              </w:rPr>
              <w:t>CPS</w:t>
            </w:r>
            <w:proofErr w:type="gramEnd"/>
            <w:r>
              <w:rPr>
                <w:rFonts w:ascii="Arial" w:hAnsi="Arial" w:cs="Arial"/>
              </w:rPr>
              <w:t xml:space="preserve"> then this offer is extend to a meeting with the lawyer.</w:t>
            </w:r>
          </w:p>
          <w:p w:rsidR="00F03C0E" w:rsidRDefault="00F03C0E" w14:paraId="7F260DCD" w14:textId="77777777">
            <w:pPr>
              <w:jc w:val="both"/>
              <w:rPr>
                <w:rFonts w:ascii="Arial" w:hAnsi="Arial" w:cs="Arial"/>
              </w:rPr>
            </w:pPr>
          </w:p>
          <w:p w:rsidR="00F03C0E" w:rsidRDefault="00887A8A" w14:paraId="71EC6EAD" w14:textId="77777777">
            <w:pPr>
              <w:suppressAutoHyphens w:val="0"/>
              <w:spacing w:after="160" w:line="247" w:lineRule="auto"/>
              <w:rPr>
                <w:rFonts w:ascii="Arial" w:hAnsi="Arial" w:cs="Arial"/>
              </w:rPr>
            </w:pPr>
            <w:r>
              <w:rPr>
                <w:rFonts w:ascii="Arial" w:hAnsi="Arial" w:cs="Arial"/>
              </w:rPr>
              <w:t xml:space="preserve">The charge rate for cases submitted to the CPS has been </w:t>
            </w:r>
            <w:r>
              <w:rPr>
                <w:rFonts w:ascii="Arial" w:hAnsi="Arial" w:cs="Arial"/>
              </w:rPr>
              <w:t>consistently within the top 10 nationally and at 76% over the last 12 months.</w:t>
            </w:r>
          </w:p>
          <w:p w:rsidR="00F03C0E" w:rsidRDefault="00887A8A" w14:paraId="165ED0C5" w14:textId="77777777">
            <w:pPr>
              <w:jc w:val="both"/>
              <w:rPr>
                <w:rFonts w:ascii="Arial" w:hAnsi="Arial" w:cs="Arial"/>
              </w:rPr>
            </w:pPr>
            <w:r>
              <w:rPr>
                <w:rFonts w:ascii="Arial" w:hAnsi="Arial" w:cs="Arial"/>
              </w:rPr>
              <w:t>Nottinghamshire’s Rape positive outcome figures have been dependably rising over the past 2 years and figures for the period April – December 2021 show Nottinghamshire at 9%.</w:t>
            </w:r>
          </w:p>
          <w:p w:rsidR="00F03C0E" w:rsidRDefault="00887A8A" w14:paraId="4E7BDB06" w14:textId="77777777">
            <w:pPr>
              <w:jc w:val="both"/>
              <w:rPr>
                <w:rFonts w:ascii="Arial" w:hAnsi="Arial" w:cs="Arial"/>
              </w:rPr>
            </w:pPr>
            <w:r>
              <w:rPr>
                <w:rFonts w:ascii="Arial" w:hAnsi="Arial" w:cs="Arial"/>
              </w:rPr>
              <w:t xml:space="preserve">In </w:t>
            </w:r>
            <w:r>
              <w:rPr>
                <w:rFonts w:ascii="Arial" w:hAnsi="Arial" w:cs="Arial"/>
              </w:rPr>
              <w:t>comparison, the National average for the same period is 4% and the region, 5%.</w:t>
            </w:r>
          </w:p>
          <w:p w:rsidR="00F03C0E" w:rsidRDefault="00F03C0E" w14:paraId="008E5DA2" w14:textId="77777777">
            <w:pPr>
              <w:jc w:val="both"/>
              <w:rPr>
                <w:rFonts w:ascii="Arial" w:hAnsi="Arial" w:cs="Arial"/>
              </w:rPr>
            </w:pPr>
          </w:p>
          <w:p w:rsidR="00F03C0E" w:rsidRDefault="00887A8A" w14:paraId="70AACB44" w14:textId="77777777">
            <w:pPr>
              <w:jc w:val="both"/>
            </w:pPr>
            <w:r>
              <w:rPr>
                <w:rFonts w:ascii="Arial" w:hAnsi="Arial" w:cs="Arial"/>
              </w:rPr>
              <w:t>April 2022 data shows Nottinghamshire as ranked 6</w:t>
            </w:r>
            <w:r>
              <w:rPr>
                <w:rFonts w:ascii="Arial" w:hAnsi="Arial" w:cs="Arial"/>
                <w:vertAlign w:val="superscript"/>
              </w:rPr>
              <w:t>th</w:t>
            </w:r>
            <w:r>
              <w:rPr>
                <w:rFonts w:ascii="Arial" w:hAnsi="Arial" w:cs="Arial"/>
              </w:rPr>
              <w:t xml:space="preserve"> Nationally with 72.2% of pre-charge decisions submitted resulting in a charge.  This further demonstrates the increased use </w:t>
            </w:r>
            <w:r>
              <w:rPr>
                <w:rFonts w:ascii="Arial" w:hAnsi="Arial" w:cs="Arial"/>
              </w:rPr>
              <w:t>of early advice with CPS (an area on the agenda for the regional RASSO conferences – heads of Public Protection and RASSO lead for CPS).</w:t>
            </w:r>
          </w:p>
          <w:p w:rsidR="00F03C0E" w:rsidRDefault="00887A8A" w14:paraId="6344F17A" w14:textId="77777777">
            <w:pPr>
              <w:jc w:val="both"/>
              <w:rPr>
                <w:rFonts w:ascii="Arial" w:hAnsi="Arial" w:cs="Arial"/>
              </w:rPr>
            </w:pPr>
            <w:r>
              <w:rPr>
                <w:rFonts w:ascii="Arial" w:hAnsi="Arial" w:cs="Arial"/>
              </w:rPr>
              <w:t>The rolling 12month positive outcome rate is currently at 8.4% (again highlighting consistent high performance).</w:t>
            </w:r>
          </w:p>
          <w:p w:rsidR="00F03C0E" w:rsidRDefault="00F03C0E" w14:paraId="66F0D1C6" w14:textId="77777777">
            <w:pPr>
              <w:jc w:val="both"/>
              <w:rPr>
                <w:rFonts w:ascii="Arial" w:hAnsi="Arial" w:cs="Arial"/>
              </w:rPr>
            </w:pPr>
          </w:p>
          <w:p w:rsidR="00F03C0E" w:rsidRDefault="00887A8A" w14:paraId="3FAC8DD1" w14:textId="77777777">
            <w:pPr>
              <w:jc w:val="both"/>
              <w:rPr>
                <w:rFonts w:ascii="Arial" w:hAnsi="Arial" w:cs="Arial"/>
                <w:b/>
                <w:bCs/>
              </w:rPr>
            </w:pPr>
            <w:r>
              <w:rPr>
                <w:rFonts w:ascii="Arial" w:hAnsi="Arial" w:cs="Arial"/>
                <w:b/>
                <w:bCs/>
              </w:rPr>
              <w:t>Victi</w:t>
            </w:r>
            <w:r>
              <w:rPr>
                <w:rFonts w:ascii="Arial" w:hAnsi="Arial" w:cs="Arial"/>
                <w:b/>
                <w:bCs/>
              </w:rPr>
              <w:t>m Satisfaction:</w:t>
            </w:r>
          </w:p>
          <w:p w:rsidR="00F03C0E" w:rsidRDefault="00F03C0E" w14:paraId="59C9728D" w14:textId="77777777">
            <w:pPr>
              <w:jc w:val="both"/>
              <w:rPr>
                <w:rFonts w:ascii="Arial" w:hAnsi="Arial" w:cs="Arial"/>
              </w:rPr>
            </w:pPr>
          </w:p>
          <w:p w:rsidR="00F03C0E" w:rsidRDefault="00887A8A" w14:paraId="203C6D15" w14:textId="77777777">
            <w:pPr>
              <w:jc w:val="both"/>
              <w:rPr>
                <w:rFonts w:ascii="Arial" w:hAnsi="Arial" w:cs="Arial"/>
              </w:rPr>
            </w:pPr>
            <w:r>
              <w:rPr>
                <w:rFonts w:ascii="Arial" w:hAnsi="Arial" w:cs="Arial"/>
              </w:rPr>
              <w:t>The chart below shows the outcomes from victim satisfaction surveys.</w:t>
            </w:r>
          </w:p>
          <w:p w:rsidR="00F03C0E" w:rsidRDefault="00887A8A" w14:paraId="49317AA5" w14:textId="77777777">
            <w:pPr>
              <w:jc w:val="both"/>
              <w:rPr>
                <w:rFonts w:ascii="Arial" w:hAnsi="Arial" w:cs="Arial"/>
              </w:rPr>
            </w:pPr>
            <w:r>
              <w:rPr>
                <w:rFonts w:ascii="Arial" w:hAnsi="Arial" w:cs="Arial"/>
              </w:rPr>
              <w:t>For crimes reported during January 2021 to the current date, a total of 37 survivors have been engaged with thus far, and this engagement activity continues at the time o</w:t>
            </w:r>
            <w:r>
              <w:rPr>
                <w:rFonts w:ascii="Arial" w:hAnsi="Arial" w:cs="Arial"/>
              </w:rPr>
              <w:t xml:space="preserve">f writing. Keeping the survivor informed is a key performance area and priority that is being driven through the RASSO scrutiny boards.  </w:t>
            </w:r>
          </w:p>
          <w:p w:rsidR="00F03C0E" w:rsidRDefault="00F03C0E" w14:paraId="0A3AF8BE" w14:textId="77777777">
            <w:pPr>
              <w:jc w:val="both"/>
              <w:rPr>
                <w:rFonts w:ascii="Arial" w:hAnsi="Arial" w:cs="Arial"/>
              </w:rPr>
            </w:pPr>
          </w:p>
          <w:p w:rsidR="00F03C0E" w:rsidRDefault="00F03C0E" w14:paraId="13653A9D" w14:textId="77777777">
            <w:pPr>
              <w:jc w:val="both"/>
            </w:pPr>
          </w:p>
          <w:p w:rsidR="00F03C0E" w:rsidRDefault="00F03C0E" w14:paraId="2D86453F" w14:textId="77777777">
            <w:pPr>
              <w:jc w:val="both"/>
              <w:rPr>
                <w:rFonts w:ascii="Arial" w:hAnsi="Arial" w:cs="Arial"/>
              </w:rPr>
            </w:pPr>
          </w:p>
          <w:p w:rsidR="00F03C0E" w:rsidRDefault="00887A8A" w14:paraId="131B3BCF" w14:textId="77777777">
            <w:pPr>
              <w:jc w:val="both"/>
            </w:pPr>
            <w:r>
              <w:rPr>
                <w:noProof/>
              </w:rPr>
              <w:drawing>
                <wp:inline distT="0" distB="0" distL="0" distR="0" wp14:anchorId="05C61B95" wp14:editId="1C1CC6A6">
                  <wp:extent cx="5731514" cy="2734942"/>
                  <wp:effectExtent l="0" t="0" r="2536" b="8258"/>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4" cy="2734942"/>
                          </a:xfrm>
                          <a:prstGeom prst="rect">
                            <a:avLst/>
                          </a:prstGeom>
                          <a:noFill/>
                          <a:ln>
                            <a:noFill/>
                            <a:prstDash/>
                          </a:ln>
                        </pic:spPr>
                      </pic:pic>
                    </a:graphicData>
                  </a:graphic>
                </wp:inline>
              </w:drawing>
            </w:r>
          </w:p>
          <w:p w:rsidR="00F03C0E" w:rsidRDefault="00F03C0E" w14:paraId="16D23756" w14:textId="77777777">
            <w:pPr>
              <w:jc w:val="both"/>
              <w:rPr>
                <w:rFonts w:ascii="Arial" w:hAnsi="Arial" w:cs="Arial"/>
              </w:rPr>
            </w:pPr>
          </w:p>
          <w:p w:rsidR="00F03C0E" w:rsidRDefault="00F03C0E" w14:paraId="19A1AE7E" w14:textId="77777777">
            <w:pPr>
              <w:jc w:val="both"/>
              <w:rPr>
                <w:rFonts w:ascii="Arial" w:hAnsi="Arial" w:cs="Arial"/>
              </w:rPr>
            </w:pPr>
          </w:p>
          <w:p w:rsidR="00F03C0E" w:rsidRDefault="00887A8A" w14:paraId="6AAFDFDA" w14:textId="77777777">
            <w:pPr>
              <w:jc w:val="both"/>
              <w:rPr>
                <w:rFonts w:ascii="Arial" w:hAnsi="Arial" w:cs="Arial"/>
              </w:rPr>
            </w:pPr>
            <w:r>
              <w:rPr>
                <w:rFonts w:ascii="Arial" w:hAnsi="Arial" w:cs="Arial"/>
              </w:rPr>
              <w:t>Summary:</w:t>
            </w:r>
          </w:p>
          <w:p w:rsidR="00F03C0E" w:rsidRDefault="00F03C0E" w14:paraId="782BA45B" w14:textId="77777777">
            <w:pPr>
              <w:jc w:val="both"/>
              <w:rPr>
                <w:rFonts w:ascii="Arial" w:hAnsi="Arial" w:cs="Arial"/>
              </w:rPr>
            </w:pPr>
          </w:p>
          <w:p w:rsidR="00F03C0E" w:rsidRDefault="00887A8A" w14:paraId="3D4D220F" w14:textId="77777777">
            <w:pPr>
              <w:jc w:val="both"/>
              <w:rPr>
                <w:rFonts w:ascii="Arial" w:hAnsi="Arial" w:cs="Arial"/>
              </w:rPr>
            </w:pPr>
            <w:r>
              <w:rPr>
                <w:rFonts w:ascii="Arial" w:hAnsi="Arial" w:cs="Arial"/>
              </w:rPr>
              <w:t>Over the last two years Nottinghamshire Police Public Protection department continue to drive the fol</w:t>
            </w:r>
            <w:r>
              <w:rPr>
                <w:rFonts w:ascii="Arial" w:hAnsi="Arial" w:cs="Arial"/>
              </w:rPr>
              <w:t>lowing pieces of work and engagement through a variety of performance and partnership meetings:</w:t>
            </w:r>
          </w:p>
          <w:p w:rsidR="00F03C0E" w:rsidRDefault="00887A8A" w14:paraId="53205B9C" w14:textId="77777777">
            <w:pPr>
              <w:pStyle w:val="ListParagraph"/>
              <w:numPr>
                <w:ilvl w:val="0"/>
                <w:numId w:val="2"/>
              </w:numPr>
              <w:jc w:val="both"/>
              <w:rPr>
                <w:rFonts w:ascii="Arial" w:hAnsi="Arial" w:cs="Arial"/>
              </w:rPr>
            </w:pPr>
            <w:r>
              <w:rPr>
                <w:rFonts w:ascii="Arial" w:hAnsi="Arial" w:cs="Arial"/>
              </w:rPr>
              <w:t>Increase in Early Advice Submissions</w:t>
            </w:r>
          </w:p>
          <w:p w:rsidR="00F03C0E" w:rsidRDefault="00887A8A" w14:paraId="1B67586D" w14:textId="77777777">
            <w:pPr>
              <w:pStyle w:val="ListParagraph"/>
              <w:numPr>
                <w:ilvl w:val="0"/>
                <w:numId w:val="2"/>
              </w:numPr>
              <w:jc w:val="both"/>
              <w:rPr>
                <w:rFonts w:ascii="Arial" w:hAnsi="Arial" w:cs="Arial"/>
              </w:rPr>
            </w:pPr>
            <w:r>
              <w:rPr>
                <w:rFonts w:ascii="Arial" w:hAnsi="Arial" w:cs="Arial"/>
              </w:rPr>
              <w:t>Collaborative strategic meetings with Police / CPS and local rape support services including ISVA’s to understand challenge</w:t>
            </w:r>
            <w:r>
              <w:rPr>
                <w:rFonts w:ascii="Arial" w:hAnsi="Arial" w:cs="Arial"/>
              </w:rPr>
              <w:t>s and address stereotypes and myths in relation to rape offences – this includes reviews of outcomes where victim / survivor withdraws from prosecution support.</w:t>
            </w:r>
          </w:p>
          <w:p w:rsidR="00F03C0E" w:rsidRDefault="00887A8A" w14:paraId="66B7FE86" w14:textId="77777777">
            <w:pPr>
              <w:pStyle w:val="ListParagraph"/>
              <w:numPr>
                <w:ilvl w:val="0"/>
                <w:numId w:val="2"/>
              </w:numPr>
              <w:jc w:val="both"/>
              <w:rPr>
                <w:rFonts w:ascii="Arial" w:hAnsi="Arial" w:cs="Arial"/>
              </w:rPr>
            </w:pPr>
            <w:r>
              <w:rPr>
                <w:rFonts w:ascii="Arial" w:hAnsi="Arial" w:cs="Arial"/>
              </w:rPr>
              <w:t>Introduction of the Police RASSO monthly scrutiny meetings chaired by the DCI in Public Protect</w:t>
            </w:r>
            <w:r>
              <w:rPr>
                <w:rFonts w:ascii="Arial" w:hAnsi="Arial" w:cs="Arial"/>
              </w:rPr>
              <w:t>ion where reporting is given through the governance structure of the Force OPR chaired by ACC Griffin.</w:t>
            </w:r>
          </w:p>
          <w:p w:rsidR="00F03C0E" w:rsidRDefault="00887A8A" w14:paraId="3BAC4BF9" w14:textId="77777777">
            <w:pPr>
              <w:pStyle w:val="ListParagraph"/>
              <w:numPr>
                <w:ilvl w:val="0"/>
                <w:numId w:val="2"/>
              </w:numPr>
              <w:jc w:val="both"/>
              <w:rPr>
                <w:rFonts w:ascii="Arial" w:hAnsi="Arial" w:cs="Arial"/>
              </w:rPr>
            </w:pPr>
            <w:r>
              <w:rPr>
                <w:rFonts w:ascii="Arial" w:hAnsi="Arial" w:cs="Arial"/>
              </w:rPr>
              <w:t xml:space="preserve">Training and investment with STO officers (increase of STO provision across the force from 27 – 102 available officers) </w:t>
            </w:r>
          </w:p>
          <w:p w:rsidR="00F03C0E" w:rsidRDefault="00887A8A" w14:paraId="5BEB5B82" w14:textId="77777777">
            <w:pPr>
              <w:pStyle w:val="ListParagraph"/>
              <w:numPr>
                <w:ilvl w:val="0"/>
                <w:numId w:val="2"/>
              </w:numPr>
              <w:jc w:val="both"/>
              <w:rPr>
                <w:rFonts w:ascii="Arial" w:hAnsi="Arial" w:cs="Arial"/>
              </w:rPr>
            </w:pPr>
            <w:r>
              <w:rPr>
                <w:rFonts w:ascii="Arial" w:hAnsi="Arial" w:cs="Arial"/>
              </w:rPr>
              <w:t xml:space="preserve">The Public Protection DCI and </w:t>
            </w:r>
            <w:r>
              <w:rPr>
                <w:rFonts w:ascii="Arial" w:hAnsi="Arial" w:cs="Arial"/>
              </w:rPr>
              <w:t>DI leads of RASSO attend the monthly RASSO JOIM meetings – CPS / Police where a review is conducted of all RASSO performance and opportunities provided to address specific challenges with cases.  This has led to the first annual conference to be held for b</w:t>
            </w:r>
            <w:r>
              <w:rPr>
                <w:rFonts w:ascii="Arial" w:hAnsi="Arial" w:cs="Arial"/>
              </w:rPr>
              <w:t>oth CPS lawyers and Police with attendance from specialist RASSO barristers and high court judges.</w:t>
            </w:r>
          </w:p>
          <w:p w:rsidR="00F03C0E" w:rsidRDefault="00887A8A" w14:paraId="6F227213" w14:textId="77777777">
            <w:pPr>
              <w:pStyle w:val="ListParagraph"/>
              <w:numPr>
                <w:ilvl w:val="0"/>
                <w:numId w:val="2"/>
              </w:numPr>
              <w:jc w:val="both"/>
              <w:rPr>
                <w:rFonts w:ascii="Arial" w:hAnsi="Arial" w:cs="Arial"/>
              </w:rPr>
            </w:pPr>
            <w:r>
              <w:rPr>
                <w:rFonts w:ascii="Arial" w:hAnsi="Arial" w:cs="Arial"/>
              </w:rPr>
              <w:t xml:space="preserve">We continue our engagement with the National RASSO meetings led by NPCC and OP </w:t>
            </w:r>
            <w:proofErr w:type="spellStart"/>
            <w:r>
              <w:rPr>
                <w:rFonts w:ascii="Arial" w:hAnsi="Arial" w:cs="Arial"/>
              </w:rPr>
              <w:t>Soteria</w:t>
            </w:r>
            <w:proofErr w:type="spellEnd"/>
            <w:r>
              <w:rPr>
                <w:rFonts w:ascii="Arial" w:hAnsi="Arial" w:cs="Arial"/>
              </w:rPr>
              <w:t>.</w:t>
            </w:r>
          </w:p>
          <w:p w:rsidR="00F03C0E" w:rsidRDefault="00887A8A" w14:paraId="177F39AB" w14:textId="77777777">
            <w:pPr>
              <w:pStyle w:val="ListParagraph"/>
              <w:numPr>
                <w:ilvl w:val="0"/>
                <w:numId w:val="2"/>
              </w:numPr>
              <w:jc w:val="both"/>
              <w:rPr>
                <w:rFonts w:ascii="Arial" w:hAnsi="Arial" w:cs="Arial"/>
              </w:rPr>
            </w:pPr>
            <w:r>
              <w:rPr>
                <w:rFonts w:ascii="Arial" w:hAnsi="Arial" w:cs="Arial"/>
              </w:rPr>
              <w:t>We continue to contribute to the sexual violence action network and c</w:t>
            </w:r>
            <w:r>
              <w:rPr>
                <w:rFonts w:ascii="Arial" w:hAnsi="Arial" w:cs="Arial"/>
              </w:rPr>
              <w:t xml:space="preserve">onsent coalition (SVAN). This has led to </w:t>
            </w:r>
            <w:proofErr w:type="gramStart"/>
            <w:r>
              <w:rPr>
                <w:rFonts w:ascii="Arial" w:hAnsi="Arial" w:cs="Arial"/>
              </w:rPr>
              <w:t>a number of</w:t>
            </w:r>
            <w:proofErr w:type="gramEnd"/>
            <w:r>
              <w:rPr>
                <w:rFonts w:ascii="Arial" w:hAnsi="Arial" w:cs="Arial"/>
              </w:rPr>
              <w:t xml:space="preserve"> initiatives aimed at crime prevention and increasing community confidence</w:t>
            </w:r>
          </w:p>
          <w:p w:rsidR="00F03C0E" w:rsidRDefault="00F03C0E" w14:paraId="06D404DB" w14:textId="77777777">
            <w:pPr>
              <w:pStyle w:val="ListParagraph"/>
              <w:jc w:val="both"/>
              <w:rPr>
                <w:rFonts w:ascii="Arial" w:hAnsi="Arial" w:cs="Arial"/>
              </w:rPr>
            </w:pPr>
          </w:p>
          <w:p w:rsidR="00F03C0E" w:rsidRDefault="00F03C0E" w14:paraId="0ECAEDB9" w14:textId="77777777">
            <w:pPr>
              <w:pStyle w:val="ListParagraph"/>
              <w:jc w:val="both"/>
              <w:rPr>
                <w:rFonts w:ascii="Arial" w:hAnsi="Arial" w:cs="Arial"/>
              </w:rPr>
            </w:pPr>
          </w:p>
          <w:p w:rsidR="00F03C0E" w:rsidRDefault="00F03C0E" w14:paraId="1A0E9379" w14:textId="77777777">
            <w:pPr>
              <w:jc w:val="both"/>
            </w:pPr>
          </w:p>
          <w:p w:rsidR="00F03C0E" w:rsidRDefault="00887A8A" w14:paraId="3C3C4473" w14:textId="77777777">
            <w:pPr>
              <w:jc w:val="both"/>
              <w:rPr>
                <w:rFonts w:ascii="Arial" w:hAnsi="Arial" w:cs="Arial"/>
                <w:b/>
                <w:bCs/>
              </w:rPr>
            </w:pPr>
            <w:r>
              <w:rPr>
                <w:rFonts w:ascii="Arial" w:hAnsi="Arial" w:cs="Arial"/>
                <w:b/>
                <w:bCs/>
              </w:rPr>
              <w:t>Action plans and future development</w:t>
            </w:r>
          </w:p>
          <w:p w:rsidR="00F03C0E" w:rsidRDefault="00F03C0E" w14:paraId="6F1AD228" w14:textId="77777777">
            <w:pPr>
              <w:jc w:val="both"/>
              <w:rPr>
                <w:rFonts w:ascii="Arial" w:hAnsi="Arial" w:cs="Arial"/>
                <w:b/>
                <w:bCs/>
              </w:rPr>
            </w:pPr>
          </w:p>
          <w:p w:rsidR="00F03C0E" w:rsidRDefault="00887A8A" w14:paraId="72FD3553" w14:textId="77777777">
            <w:pPr>
              <w:jc w:val="both"/>
              <w:rPr>
                <w:rFonts w:ascii="Arial" w:hAnsi="Arial" w:cs="Arial"/>
              </w:rPr>
            </w:pPr>
            <w:r>
              <w:rPr>
                <w:rFonts w:ascii="Arial" w:hAnsi="Arial" w:cs="Arial"/>
              </w:rPr>
              <w:t>We have an established action plan for the continued improvement of RASSO investigations.</w:t>
            </w:r>
            <w:r>
              <w:rPr>
                <w:rFonts w:ascii="Arial" w:hAnsi="Arial" w:cs="Arial"/>
              </w:rPr>
              <w:t xml:space="preserve"> This aligns with the National Police and CPS Joint National Action Plan (JNAP).  Much of the above activity is held within the plan, but in addition there are other projects ongoing, which include:</w:t>
            </w:r>
          </w:p>
          <w:p w:rsidR="00F03C0E" w:rsidRDefault="00F03C0E" w14:paraId="76F3A776" w14:textId="77777777">
            <w:pPr>
              <w:jc w:val="both"/>
              <w:rPr>
                <w:rFonts w:ascii="Arial" w:hAnsi="Arial" w:cs="Arial"/>
              </w:rPr>
            </w:pPr>
          </w:p>
          <w:p w:rsidR="00F03C0E" w:rsidRDefault="00887A8A" w14:paraId="7C6C52DF" w14:textId="77777777">
            <w:pPr>
              <w:pStyle w:val="ListParagraph"/>
              <w:numPr>
                <w:ilvl w:val="0"/>
                <w:numId w:val="2"/>
              </w:numPr>
              <w:jc w:val="both"/>
              <w:rPr>
                <w:rFonts w:ascii="Arial" w:hAnsi="Arial" w:cs="Arial"/>
              </w:rPr>
            </w:pPr>
            <w:r>
              <w:rPr>
                <w:rFonts w:ascii="Arial" w:hAnsi="Arial" w:cs="Arial"/>
              </w:rPr>
              <w:t>Improved communication with ISVA/CHISVA services via reg</w:t>
            </w:r>
            <w:r>
              <w:rPr>
                <w:rFonts w:ascii="Arial" w:hAnsi="Arial" w:cs="Arial"/>
              </w:rPr>
              <w:t xml:space="preserve">ular ISVA panel. This is a key part of improving survivor services and allowing survivor voices to influence Police decision making. </w:t>
            </w:r>
          </w:p>
          <w:p w:rsidR="00F03C0E" w:rsidRDefault="00F03C0E" w14:paraId="62B442B3" w14:textId="77777777">
            <w:pPr>
              <w:pStyle w:val="ListParagraph"/>
              <w:jc w:val="both"/>
              <w:rPr>
                <w:rFonts w:ascii="Arial" w:hAnsi="Arial" w:cs="Arial"/>
              </w:rPr>
            </w:pPr>
          </w:p>
          <w:p w:rsidR="00F03C0E" w:rsidRDefault="00887A8A" w14:paraId="386FB973" w14:textId="77777777">
            <w:pPr>
              <w:pStyle w:val="ListParagraph"/>
              <w:numPr>
                <w:ilvl w:val="0"/>
                <w:numId w:val="2"/>
              </w:numPr>
            </w:pPr>
            <w:r>
              <w:rPr>
                <w:rFonts w:ascii="Arial" w:hAnsi="Arial" w:cs="Arial"/>
              </w:rPr>
              <w:t>We have recently launched the provision of two</w:t>
            </w:r>
            <w:r>
              <w:rPr>
                <w:rFonts w:ascii="Arial" w:hAnsi="Arial" w:cs="Arial"/>
                <w:bCs/>
              </w:rPr>
              <w:t xml:space="preserve"> unmarked mobile digital forensic units,</w:t>
            </w:r>
            <w:r>
              <w:rPr>
                <w:rFonts w:ascii="Arial" w:hAnsi="Arial" w:cs="Arial"/>
              </w:rPr>
              <w:t xml:space="preserve"> equipped with the </w:t>
            </w:r>
            <w:r>
              <w:rPr>
                <w:rFonts w:ascii="Arial" w:hAnsi="Arial" w:cs="Arial"/>
              </w:rPr>
              <w:t xml:space="preserve">technology to enable forensic recovery and ‘at scene’ triage examination.  This </w:t>
            </w:r>
            <w:r>
              <w:rPr>
                <w:rFonts w:ascii="Arial" w:hAnsi="Arial" w:cs="Arial"/>
                <w:bCs/>
                <w:iCs/>
              </w:rPr>
              <w:t xml:space="preserve">provides a ‘RASSO specific digital forensics service’ with a </w:t>
            </w:r>
            <w:proofErr w:type="gramStart"/>
            <w:r>
              <w:rPr>
                <w:rFonts w:ascii="Arial" w:hAnsi="Arial" w:cs="Arial"/>
                <w:bCs/>
                <w:iCs/>
              </w:rPr>
              <w:t>24 hour</w:t>
            </w:r>
            <w:proofErr w:type="gramEnd"/>
            <w:r>
              <w:rPr>
                <w:rFonts w:ascii="Arial" w:hAnsi="Arial" w:cs="Arial"/>
                <w:bCs/>
                <w:iCs/>
              </w:rPr>
              <w:t xml:space="preserve"> turn-around time for extracting data from victim’s mobile devices, benefiting the investigation and the ret</w:t>
            </w:r>
            <w:r>
              <w:rPr>
                <w:rFonts w:ascii="Arial" w:hAnsi="Arial" w:cs="Arial"/>
                <w:bCs/>
                <w:iCs/>
              </w:rPr>
              <w:t xml:space="preserve">urn of handsets to victims and witnesses. </w:t>
            </w:r>
          </w:p>
          <w:p w:rsidR="00F03C0E" w:rsidRDefault="00F03C0E" w14:paraId="312A4440" w14:textId="77777777">
            <w:pPr>
              <w:rPr>
                <w:rFonts w:ascii="Arial" w:hAnsi="Arial" w:cs="Arial"/>
              </w:rPr>
            </w:pPr>
          </w:p>
          <w:p w:rsidR="00F03C0E" w:rsidRDefault="00887A8A" w14:paraId="3D890C10" w14:textId="77777777">
            <w:pPr>
              <w:jc w:val="both"/>
              <w:rPr>
                <w:rFonts w:ascii="Arial" w:hAnsi="Arial" w:cs="Arial"/>
              </w:rPr>
            </w:pPr>
            <w:r>
              <w:rPr>
                <w:rFonts w:ascii="Arial" w:hAnsi="Arial" w:cs="Arial"/>
              </w:rPr>
              <w:t>This provision of the digital forensic units will not only provide a better service to survivors but will also be utilised effectively in line with the recommendations in the Information Commissioner’s Opinion ‘W</w:t>
            </w:r>
            <w:r>
              <w:rPr>
                <w:rFonts w:ascii="Arial" w:hAnsi="Arial" w:cs="Arial"/>
              </w:rPr>
              <w:t>ho’s Under Investigation’ and the revised Attorney General’s Guidance on disclosure.</w:t>
            </w:r>
          </w:p>
          <w:p w:rsidR="00F03C0E" w:rsidRDefault="00F03C0E" w14:paraId="4DA0A039" w14:textId="77777777">
            <w:pPr>
              <w:jc w:val="both"/>
            </w:pPr>
          </w:p>
          <w:p w:rsidR="00F03C0E" w:rsidRDefault="00F03C0E" w14:paraId="262F7F74" w14:textId="77777777">
            <w:pPr>
              <w:jc w:val="both"/>
            </w:pPr>
          </w:p>
          <w:p w:rsidR="00F03C0E" w:rsidRDefault="00F03C0E" w14:paraId="07394954" w14:textId="77777777">
            <w:pPr>
              <w:jc w:val="both"/>
            </w:pPr>
          </w:p>
          <w:p w:rsidR="00F03C0E" w:rsidRDefault="00F03C0E" w14:paraId="3BBEDA3B" w14:textId="77777777">
            <w:pPr>
              <w:jc w:val="both"/>
              <w:rPr>
                <w:rFonts w:ascii="Arial" w:hAnsi="Arial" w:cs="Arial"/>
              </w:rPr>
            </w:pPr>
          </w:p>
          <w:p w:rsidR="00F03C0E" w:rsidRDefault="00F03C0E" w14:paraId="23C6E48C" w14:textId="77777777">
            <w:pPr>
              <w:jc w:val="both"/>
              <w:rPr>
                <w:rFonts w:ascii="Arial" w:hAnsi="Arial" w:cs="Arial"/>
              </w:rPr>
            </w:pPr>
          </w:p>
          <w:p w:rsidR="00F03C0E" w:rsidRDefault="00F03C0E" w14:paraId="203AA3E8" w14:textId="77777777">
            <w:pPr>
              <w:jc w:val="both"/>
              <w:rPr>
                <w:rFonts w:ascii="Arial" w:hAnsi="Arial" w:cs="Arial"/>
              </w:rPr>
            </w:pPr>
          </w:p>
          <w:p w:rsidR="00F03C0E" w:rsidRDefault="00F03C0E" w14:paraId="04AEB4FB" w14:textId="77777777">
            <w:pPr>
              <w:jc w:val="both"/>
              <w:rPr>
                <w:rFonts w:ascii="Arial" w:hAnsi="Arial" w:cs="Arial"/>
              </w:rPr>
            </w:pPr>
          </w:p>
          <w:p w:rsidR="00F03C0E" w:rsidRDefault="00F03C0E" w14:paraId="3D61AF6A" w14:textId="77777777">
            <w:pPr>
              <w:jc w:val="both"/>
              <w:rPr>
                <w:rFonts w:ascii="Arial" w:hAnsi="Arial" w:cs="Arial"/>
              </w:rPr>
            </w:pPr>
          </w:p>
        </w:tc>
      </w:tr>
    </w:tbl>
    <w:p w:rsidR="00F03C0E" w:rsidRDefault="00F03C0E" w14:paraId="19C23639" w14:textId="77777777"/>
    <w:sectPr w:rsidR="00F03C0E">
      <w:headerReference w:type="default" r:id="rId15"/>
      <w:footerReference w:type="defaul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CB6F" w14:textId="77777777" w:rsidR="00000000" w:rsidRDefault="00887A8A">
      <w:r>
        <w:separator/>
      </w:r>
    </w:p>
  </w:endnote>
  <w:endnote w:type="continuationSeparator" w:id="0">
    <w:p w14:paraId="3AFCBC80" w14:textId="77777777" w:rsidR="00000000" w:rsidRDefault="008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1061" w14:textId="77777777" w:rsidR="0060314C" w:rsidRDefault="00887A8A">
    <w:pPr>
      <w:pStyle w:val="Footer"/>
      <w:jc w:val="center"/>
    </w:pPr>
    <w:r>
      <w:fldChar w:fldCharType="begin"/>
    </w:r>
    <w:r>
      <w:instrText xml:space="preserve"> PAGE </w:instrText>
    </w:r>
    <w:r>
      <w:fldChar w:fldCharType="separate"/>
    </w:r>
    <w:r>
      <w:t>2</w:t>
    </w:r>
    <w:r>
      <w:fldChar w:fldCharType="end"/>
    </w:r>
  </w:p>
  <w:p w14:paraId="619B267D" w14:textId="77777777" w:rsidR="0060314C" w:rsidRDefault="0088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8588" w14:textId="77777777" w:rsidR="00000000" w:rsidRDefault="00887A8A">
      <w:r>
        <w:rPr>
          <w:color w:val="000000"/>
        </w:rPr>
        <w:separator/>
      </w:r>
    </w:p>
  </w:footnote>
  <w:footnote w:type="continuationSeparator" w:id="0">
    <w:p w14:paraId="51A8C970" w14:textId="77777777" w:rsidR="00000000" w:rsidRDefault="0088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E4F7" w14:textId="77777777" w:rsidR="0060314C" w:rsidRDefault="00887A8A">
    <w:pPr>
      <w:pStyle w:val="Header"/>
    </w:pPr>
    <w:r>
      <w:rPr>
        <w:rFonts w:ascii="Arial" w:hAnsi="Arial" w:cs="Arial"/>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E17"/>
    <w:multiLevelType w:val="multilevel"/>
    <w:tmpl w:val="3C5E68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B203B0"/>
    <w:multiLevelType w:val="multilevel"/>
    <w:tmpl w:val="5AEC6F9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03C0E"/>
    <w:rsid w:val="00887A8A"/>
    <w:rsid w:val="00F0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304A2"/>
  <w15:docId w15:val="{AFC70F0E-5B56-41F1-A3E4-8F7CF6D0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color w:val="002060"/>
        <w:sz w:val="24"/>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libri" w:hAnsi="Calibri" w:cs="Calibri"/>
      <w:color w:val="auto"/>
      <w:sz w:val="22"/>
    </w:rPr>
  </w:style>
  <w:style w:type="paragraph" w:styleId="Heading1">
    <w:name w:val="heading 1"/>
    <w:basedOn w:val="Normal"/>
    <w:next w:val="Normal"/>
    <w:uiPriority w:val="9"/>
    <w:qFormat/>
    <w:pPr>
      <w:keepNext/>
      <w:keepLines/>
      <w:spacing w:before="120" w:after="120"/>
      <w:jc w:val="both"/>
      <w:outlineLvl w:val="0"/>
    </w:pPr>
    <w:rPr>
      <w:rFonts w:ascii="Arial" w:eastAsia="Times New Roman" w:hAnsi="Arial" w:cs="Arial"/>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color w:val="auto"/>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color w:val="auto"/>
      <w:sz w:val="20"/>
      <w:szCs w:val="20"/>
    </w:rPr>
  </w:style>
  <w:style w:type="paragraph" w:styleId="ListParagraph">
    <w:name w:val="List Paragraph"/>
    <w:basedOn w:val="Normal"/>
    <w:pPr>
      <w:suppressAutoHyphens w:val="0"/>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color w:val="auto"/>
      <w:sz w:val="22"/>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color w:val="auto"/>
      <w:sz w:val="22"/>
    </w:rPr>
  </w:style>
  <w:style w:type="character" w:customStyle="1" w:styleId="ListParagraphChar">
    <w:name w:val="List Paragraph Char"/>
    <w:rPr>
      <w:rFonts w:ascii="Calibri" w:hAnsi="Calibri" w:cs="Calibri"/>
      <w:color w:val="auto"/>
      <w:sz w:val="22"/>
    </w:rPr>
  </w:style>
  <w:style w:type="paragraph" w:customStyle="1" w:styleId="ReportBody">
    <w:name w:val="Report Body"/>
    <w:basedOn w:val="Normal"/>
    <w:pPr>
      <w:spacing w:before="120" w:after="60"/>
      <w:jc w:val="both"/>
    </w:pPr>
    <w:rPr>
      <w:rFonts w:ascii="Arial" w:hAnsi="Arial" w:cs="Arial"/>
    </w:rPr>
  </w:style>
  <w:style w:type="character" w:customStyle="1" w:styleId="Heading1Char">
    <w:name w:val="Heading 1 Char"/>
    <w:basedOn w:val="DefaultParagraphFont"/>
    <w:rPr>
      <w:rFonts w:eastAsia="Times New Roman" w:cs="Arial"/>
      <w:b/>
      <w:bCs/>
      <w:color w:val="2F549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Volume</a:t>
            </a:r>
          </a:p>
        </c:rich>
      </c:tx>
      <c:overlay val="0"/>
      <c:spPr>
        <a:noFill/>
        <a:ln>
          <a:noFill/>
        </a:ln>
      </c:spPr>
    </c:title>
    <c:autoTitleDeleted val="0"/>
    <c:plotArea>
      <c:layout/>
      <c:lineChart>
        <c:grouping val="standard"/>
        <c:varyColors val="0"/>
        <c:ser>
          <c:idx val="0"/>
          <c:order val="0"/>
          <c:tx>
            <c:v>Rape</c:v>
          </c:tx>
          <c:spPr>
            <a:ln w="28575" cap="rnd">
              <a:solidFill>
                <a:srgbClr val="4472C4"/>
              </a:solidFill>
              <a:prstDash val="solid"/>
              <a:round/>
            </a:ln>
          </c:spPr>
          <c:marker>
            <c:symbol val="none"/>
          </c:marker>
          <c:cat>
            <c:strLit>
              <c:ptCount val="9"/>
              <c:pt idx="0">
                <c:v>Q1 2020</c:v>
              </c:pt>
              <c:pt idx="1">
                <c:v>Q2 2020</c:v>
              </c:pt>
              <c:pt idx="2">
                <c:v>Q3 2020</c:v>
              </c:pt>
              <c:pt idx="3">
                <c:v>Q4 2020</c:v>
              </c:pt>
              <c:pt idx="4">
                <c:v>Q1 2021</c:v>
              </c:pt>
              <c:pt idx="5">
                <c:v>Q2 2021</c:v>
              </c:pt>
              <c:pt idx="6">
                <c:v>Q3 2021</c:v>
              </c:pt>
              <c:pt idx="7">
                <c:v>Q4 2021</c:v>
              </c:pt>
              <c:pt idx="8">
                <c:v>Q1 2022</c:v>
              </c:pt>
            </c:strLit>
          </c:cat>
          <c:val>
            <c:numLit>
              <c:formatCode>General</c:formatCode>
              <c:ptCount val="9"/>
              <c:pt idx="0">
                <c:v>243</c:v>
              </c:pt>
              <c:pt idx="1">
                <c:v>222</c:v>
              </c:pt>
              <c:pt idx="2">
                <c:v>257</c:v>
              </c:pt>
              <c:pt idx="3">
                <c:v>461</c:v>
              </c:pt>
              <c:pt idx="4">
                <c:v>244</c:v>
              </c:pt>
              <c:pt idx="5">
                <c:v>276</c:v>
              </c:pt>
              <c:pt idx="6">
                <c:v>288</c:v>
              </c:pt>
              <c:pt idx="7">
                <c:v>313</c:v>
              </c:pt>
              <c:pt idx="8">
                <c:v>303</c:v>
              </c:pt>
            </c:numLit>
          </c:val>
          <c:smooth val="0"/>
          <c:extLst>
            <c:ext xmlns:c16="http://schemas.microsoft.com/office/drawing/2014/chart" uri="{C3380CC4-5D6E-409C-BE32-E72D297353CC}">
              <c16:uniqueId val="{00000000-9AC1-40B1-B755-5CB8B97813AB}"/>
            </c:ext>
          </c:extLst>
        </c:ser>
        <c:ser>
          <c:idx val="1"/>
          <c:order val="1"/>
          <c:tx>
            <c:v>Other Sexual Offences</c:v>
          </c:tx>
          <c:spPr>
            <a:ln w="28575" cap="rnd">
              <a:solidFill>
                <a:srgbClr val="ED7D31"/>
              </a:solidFill>
              <a:prstDash val="solid"/>
              <a:round/>
            </a:ln>
          </c:spPr>
          <c:marker>
            <c:symbol val="none"/>
          </c:marker>
          <c:cat>
            <c:strLit>
              <c:ptCount val="9"/>
              <c:pt idx="0">
                <c:v>Q1 2020</c:v>
              </c:pt>
              <c:pt idx="1">
                <c:v>Q2 2020</c:v>
              </c:pt>
              <c:pt idx="2">
                <c:v>Q3 2020</c:v>
              </c:pt>
              <c:pt idx="3">
                <c:v>Q4 2020</c:v>
              </c:pt>
              <c:pt idx="4">
                <c:v>Q1 2021</c:v>
              </c:pt>
              <c:pt idx="5">
                <c:v>Q2 2021</c:v>
              </c:pt>
              <c:pt idx="6">
                <c:v>Q3 2021</c:v>
              </c:pt>
              <c:pt idx="7">
                <c:v>Q4 2021</c:v>
              </c:pt>
              <c:pt idx="8">
                <c:v>Q1 2022</c:v>
              </c:pt>
            </c:strLit>
          </c:cat>
          <c:val>
            <c:numLit>
              <c:formatCode>General</c:formatCode>
              <c:ptCount val="9"/>
              <c:pt idx="0">
                <c:v>560</c:v>
              </c:pt>
              <c:pt idx="1">
                <c:v>344</c:v>
              </c:pt>
              <c:pt idx="2">
                <c:v>259</c:v>
              </c:pt>
              <c:pt idx="3">
                <c:v>381</c:v>
              </c:pt>
              <c:pt idx="4">
                <c:v>412</c:v>
              </c:pt>
              <c:pt idx="5">
                <c:v>560</c:v>
              </c:pt>
              <c:pt idx="6">
                <c:v>597</c:v>
              </c:pt>
              <c:pt idx="7">
                <c:v>617</c:v>
              </c:pt>
              <c:pt idx="8">
                <c:v>540</c:v>
              </c:pt>
            </c:numLit>
          </c:val>
          <c:smooth val="0"/>
          <c:extLst>
            <c:ext xmlns:c16="http://schemas.microsoft.com/office/drawing/2014/chart" uri="{C3380CC4-5D6E-409C-BE32-E72D297353CC}">
              <c16:uniqueId val="{00000001-9AC1-40B1-B755-5CB8B97813AB}"/>
            </c:ext>
          </c:extLst>
        </c:ser>
        <c:dLbls>
          <c:showLegendKey val="0"/>
          <c:showVal val="0"/>
          <c:showCatName val="0"/>
          <c:showSerName val="0"/>
          <c:showPercent val="0"/>
          <c:showBubbleSize val="0"/>
        </c:dLbls>
        <c:smooth val="0"/>
        <c:axId val="1883942447"/>
        <c:axId val="1883932463"/>
      </c:lineChart>
      <c:valAx>
        <c:axId val="1883932463"/>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883942447"/>
        <c:crosses val="autoZero"/>
        <c:crossBetween val="between"/>
      </c:valAx>
      <c:catAx>
        <c:axId val="1883942447"/>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883932463"/>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1" i="0" u="sng" strike="noStrike" kern="1200" spc="0" baseline="0">
                <a:solidFill>
                  <a:srgbClr val="595959"/>
                </a:solidFill>
                <a:latin typeface="Calibri"/>
              </a:defRPr>
            </a:pPr>
            <a:r>
              <a:rPr lang="en-US" sz="1400" b="1" i="0" u="sng" strike="noStrike" kern="1200" cap="none" spc="0" baseline="0">
                <a:solidFill>
                  <a:srgbClr val="595959"/>
                </a:solidFill>
                <a:uFillTx/>
                <a:latin typeface="Calibri"/>
              </a:rPr>
              <a:t>Number of Days (Adult Rape) between 'Created Date' and 'Outcome Date' for the Year 2022/3.</a:t>
            </a:r>
          </a:p>
        </c:rich>
      </c:tx>
      <c:overlay val="0"/>
      <c:spPr>
        <a:noFill/>
        <a:ln>
          <a:noFill/>
        </a:ln>
      </c:spPr>
    </c:title>
    <c:autoTitleDeleted val="0"/>
    <c:plotArea>
      <c:layout/>
      <c:barChart>
        <c:barDir val="col"/>
        <c:grouping val="clustered"/>
        <c:varyColors val="0"/>
        <c:ser>
          <c:idx val="0"/>
          <c:order val="0"/>
          <c:tx>
            <c:v>Series1</c:v>
          </c:tx>
          <c:spPr>
            <a:solidFill>
              <a:srgbClr val="4472C4"/>
            </a:solidFill>
            <a:ln>
              <a:noFill/>
            </a:ln>
          </c:spPr>
          <c:invertIfNegative val="0"/>
          <c:cat>
            <c:strLit>
              <c:ptCount val="13"/>
              <c:pt idx="0">
                <c:v>March</c:v>
              </c:pt>
              <c:pt idx="1">
                <c:v>April </c:v>
              </c:pt>
              <c:pt idx="2">
                <c:v>May</c:v>
              </c:pt>
              <c:pt idx="3">
                <c:v>June</c:v>
              </c:pt>
              <c:pt idx="4">
                <c:v>July</c:v>
              </c:pt>
              <c:pt idx="5">
                <c:v>August</c:v>
              </c:pt>
              <c:pt idx="6">
                <c:v>September</c:v>
              </c:pt>
              <c:pt idx="7">
                <c:v>October</c:v>
              </c:pt>
              <c:pt idx="8">
                <c:v>November</c:v>
              </c:pt>
              <c:pt idx="9">
                <c:v>December</c:v>
              </c:pt>
              <c:pt idx="10">
                <c:v>January</c:v>
              </c:pt>
              <c:pt idx="11">
                <c:v>February</c:v>
              </c:pt>
              <c:pt idx="12">
                <c:v>March</c:v>
              </c:pt>
            </c:strLit>
          </c:cat>
          <c:val>
            <c:numLit>
              <c:formatCode>General</c:formatCode>
              <c:ptCount val="13"/>
              <c:pt idx="0">
                <c:v>530</c:v>
              </c:pt>
              <c:pt idx="1">
                <c:v>685</c:v>
              </c:pt>
              <c:pt idx="2">
                <c:v>454</c:v>
              </c:pt>
              <c:pt idx="3">
                <c:v>121</c:v>
              </c:pt>
              <c:pt idx="4">
                <c:v>0</c:v>
              </c:pt>
              <c:pt idx="5">
                <c:v>0</c:v>
              </c:pt>
              <c:pt idx="6">
                <c:v>0</c:v>
              </c:pt>
              <c:pt idx="7">
                <c:v>0</c:v>
              </c:pt>
              <c:pt idx="8">
                <c:v>0</c:v>
              </c:pt>
              <c:pt idx="9">
                <c:v>0</c:v>
              </c:pt>
              <c:pt idx="10">
                <c:v>0</c:v>
              </c:pt>
              <c:pt idx="11">
                <c:v>0</c:v>
              </c:pt>
              <c:pt idx="12">
                <c:v>0</c:v>
              </c:pt>
            </c:numLit>
          </c:val>
          <c:extLst>
            <c:ext xmlns:c16="http://schemas.microsoft.com/office/drawing/2014/chart" uri="{C3380CC4-5D6E-409C-BE32-E72D297353CC}">
              <c16:uniqueId val="{00000000-F4D0-48DE-99E0-FB5E525F6632}"/>
            </c:ext>
          </c:extLst>
        </c:ser>
        <c:ser>
          <c:idx val="1"/>
          <c:order val="1"/>
          <c:tx>
            <c:v>Series2</c:v>
          </c:tx>
          <c:spPr>
            <a:solidFill>
              <a:srgbClr val="ED7D31"/>
            </a:solidFill>
            <a:ln>
              <a:noFill/>
            </a:ln>
          </c:spPr>
          <c:invertIfNegative val="0"/>
          <c:cat>
            <c:strLit>
              <c:ptCount val="13"/>
              <c:pt idx="0">
                <c:v>March</c:v>
              </c:pt>
              <c:pt idx="1">
                <c:v>April </c:v>
              </c:pt>
              <c:pt idx="2">
                <c:v>May</c:v>
              </c:pt>
              <c:pt idx="3">
                <c:v>June</c:v>
              </c:pt>
              <c:pt idx="4">
                <c:v>July</c:v>
              </c:pt>
              <c:pt idx="5">
                <c:v>August</c:v>
              </c:pt>
              <c:pt idx="6">
                <c:v>September</c:v>
              </c:pt>
              <c:pt idx="7">
                <c:v>October</c:v>
              </c:pt>
              <c:pt idx="8">
                <c:v>November</c:v>
              </c:pt>
              <c:pt idx="9">
                <c:v>December</c:v>
              </c:pt>
              <c:pt idx="10">
                <c:v>January</c:v>
              </c:pt>
              <c:pt idx="11">
                <c:v>February</c:v>
              </c:pt>
              <c:pt idx="12">
                <c:v>March</c:v>
              </c:pt>
            </c:strLit>
          </c:cat>
          <c:val>
            <c:numLit>
              <c:formatCode>General</c:formatCode>
              <c:ptCount val="13"/>
              <c:pt idx="0">
                <c:v>529</c:v>
              </c:pt>
              <c:pt idx="1">
                <c:v>564</c:v>
              </c:pt>
              <c:pt idx="2">
                <c:v>408</c:v>
              </c:pt>
              <c:pt idx="3">
                <c:v>121</c:v>
              </c:pt>
              <c:pt idx="4">
                <c:v>0</c:v>
              </c:pt>
              <c:pt idx="5">
                <c:v>0</c:v>
              </c:pt>
              <c:pt idx="6">
                <c:v>0</c:v>
              </c:pt>
              <c:pt idx="7">
                <c:v>0</c:v>
              </c:pt>
              <c:pt idx="8">
                <c:v>0</c:v>
              </c:pt>
              <c:pt idx="9">
                <c:v>0</c:v>
              </c:pt>
              <c:pt idx="10">
                <c:v>0</c:v>
              </c:pt>
              <c:pt idx="11">
                <c:v>0</c:v>
              </c:pt>
              <c:pt idx="12">
                <c:v>0</c:v>
              </c:pt>
            </c:numLit>
          </c:val>
          <c:extLst>
            <c:ext xmlns:c16="http://schemas.microsoft.com/office/drawing/2014/chart" uri="{C3380CC4-5D6E-409C-BE32-E72D297353CC}">
              <c16:uniqueId val="{00000001-F4D0-48DE-99E0-FB5E525F6632}"/>
            </c:ext>
          </c:extLst>
        </c:ser>
        <c:dLbls>
          <c:showLegendKey val="0"/>
          <c:showVal val="0"/>
          <c:showCatName val="0"/>
          <c:showSerName val="0"/>
          <c:showPercent val="0"/>
          <c:showBubbleSize val="0"/>
        </c:dLbls>
        <c:gapWidth val="150"/>
        <c:axId val="1883923727"/>
        <c:axId val="1883926223"/>
      </c:barChart>
      <c:lineChart>
        <c:grouping val="stacked"/>
        <c:varyColors val="0"/>
        <c:ser>
          <c:idx val="2"/>
          <c:order val="2"/>
          <c:tx>
            <c:v>Series3</c:v>
          </c:tx>
          <c:spPr>
            <a:ln w="28575" cap="rnd">
              <a:solidFill>
                <a:srgbClr val="A5A5A5"/>
              </a:solidFill>
              <a:prstDash val="solid"/>
              <a:round/>
            </a:ln>
          </c:spPr>
          <c:marker>
            <c:symbol val="none"/>
          </c:marker>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1200" b="1" i="0" u="none" strike="noStrike" kern="1200" baseline="0">
                    <a:solidFill>
                      <a:srgbClr val="FFFFFF"/>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13"/>
              <c:pt idx="0">
                <c:v>March</c:v>
              </c:pt>
              <c:pt idx="1">
                <c:v>April </c:v>
              </c:pt>
              <c:pt idx="2">
                <c:v>May</c:v>
              </c:pt>
              <c:pt idx="3">
                <c:v>June</c:v>
              </c:pt>
              <c:pt idx="4">
                <c:v>July</c:v>
              </c:pt>
              <c:pt idx="5">
                <c:v>August</c:v>
              </c:pt>
              <c:pt idx="6">
                <c:v>September</c:v>
              </c:pt>
              <c:pt idx="7">
                <c:v>October</c:v>
              </c:pt>
              <c:pt idx="8">
                <c:v>November</c:v>
              </c:pt>
              <c:pt idx="9">
                <c:v>December</c:v>
              </c:pt>
              <c:pt idx="10">
                <c:v>January</c:v>
              </c:pt>
              <c:pt idx="11">
                <c:v>February</c:v>
              </c:pt>
              <c:pt idx="12">
                <c:v>March</c:v>
              </c:pt>
            </c:strLit>
          </c:cat>
          <c:val>
            <c:numLit>
              <c:formatCode>General</c:formatCode>
              <c:ptCount val="13"/>
              <c:pt idx="0">
                <c:v>5</c:v>
              </c:pt>
              <c:pt idx="1">
                <c:v>9</c:v>
              </c:pt>
              <c:pt idx="2">
                <c:v>8</c:v>
              </c:pt>
              <c:pt idx="3">
                <c:v>2</c:v>
              </c:pt>
              <c:pt idx="4">
                <c:v>0</c:v>
              </c:pt>
              <c:pt idx="5">
                <c:v>0</c:v>
              </c:pt>
              <c:pt idx="6">
                <c:v>0</c:v>
              </c:pt>
              <c:pt idx="7">
                <c:v>0</c:v>
              </c:pt>
              <c:pt idx="8">
                <c:v>0</c:v>
              </c:pt>
              <c:pt idx="9">
                <c:v>0</c:v>
              </c:pt>
              <c:pt idx="10">
                <c:v>0</c:v>
              </c:pt>
              <c:pt idx="11">
                <c:v>0</c:v>
              </c:pt>
              <c:pt idx="12">
                <c:v>0</c:v>
              </c:pt>
            </c:numLit>
          </c:val>
          <c:smooth val="0"/>
          <c:extLst>
            <c:ext xmlns:c16="http://schemas.microsoft.com/office/drawing/2014/chart" uri="{C3380CC4-5D6E-409C-BE32-E72D297353CC}">
              <c16:uniqueId val="{00000002-F4D0-48DE-99E0-FB5E525F6632}"/>
            </c:ext>
          </c:extLst>
        </c:ser>
        <c:dLbls>
          <c:showLegendKey val="0"/>
          <c:showVal val="0"/>
          <c:showCatName val="0"/>
          <c:showSerName val="0"/>
          <c:showPercent val="0"/>
          <c:showBubbleSize val="0"/>
        </c:dLbls>
        <c:marker val="1"/>
        <c:smooth val="0"/>
        <c:axId val="1883923727"/>
        <c:axId val="1883926223"/>
      </c:lineChart>
      <c:valAx>
        <c:axId val="1883926223"/>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en-US" sz="1100" b="1" i="0" u="none" strike="noStrike" kern="1200" baseline="0">
                    <a:solidFill>
                      <a:srgbClr val="595959"/>
                    </a:solidFill>
                    <a:latin typeface="Calibri"/>
                  </a:defRPr>
                </a:pPr>
                <a:r>
                  <a:rPr lang="en-US" sz="1100" b="1" i="0" u="none" strike="noStrike" kern="1200" cap="none" spc="0" baseline="0">
                    <a:solidFill>
                      <a:srgbClr val="595959"/>
                    </a:solidFill>
                    <a:uFillTx/>
                    <a:latin typeface="Calibri"/>
                  </a:rPr>
                  <a:t>Number of Days</a:t>
                </a:r>
              </a:p>
            </c:rich>
          </c:tx>
          <c:layout>
            <c:manualLayout>
              <c:xMode val="edge"/>
              <c:yMode val="edge"/>
              <c:x val="3.1881662940280615E-2"/>
              <c:y val="0.35401174089879989"/>
            </c:manualLayout>
          </c:layout>
          <c:overlay val="0"/>
          <c:spPr>
            <a:noFill/>
            <a:ln>
              <a:noFill/>
            </a:ln>
          </c:spPr>
        </c:title>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883923727"/>
        <c:crosses val="autoZero"/>
        <c:crossBetween val="between"/>
      </c:valAx>
      <c:catAx>
        <c:axId val="1883923727"/>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en-US" sz="1000" b="1" i="0" u="none" strike="noStrike" kern="1200" baseline="0">
                    <a:solidFill>
                      <a:srgbClr val="595959"/>
                    </a:solidFill>
                    <a:latin typeface="Calibri"/>
                  </a:defRPr>
                </a:pPr>
                <a:r>
                  <a:rPr lang="en-US" sz="1000" b="1" i="0" u="none" strike="noStrike" kern="1200" cap="none" spc="0" baseline="0">
                    <a:solidFill>
                      <a:srgbClr val="595959"/>
                    </a:solidFill>
                    <a:uFillTx/>
                    <a:latin typeface="Calibri"/>
                  </a:rPr>
                  <a:t>Month</a:t>
                </a:r>
              </a:p>
            </c:rich>
          </c:tx>
          <c:overlay val="0"/>
          <c:spPr>
            <a:noFill/>
            <a:ln>
              <a:noFill/>
            </a:ln>
          </c:spPr>
        </c:title>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crossAx val="1883926223"/>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7179</Characters>
  <Application>Microsoft Office Word</Application>
  <DocSecurity>4</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C2 Accountability Report - Rape Prosecutions</dc:title>
  <dc:subject>
  </dc:subject>
  <dc:creator>Chantelle Dawson</dc:creator>
  <dc:description>
  </dc:description>
  <cp:lastModifiedBy>Ryan Hodson</cp:lastModifiedBy>
  <cp:revision>2</cp:revision>
  <dcterms:created xsi:type="dcterms:W3CDTF">2022-09-05T07:11:00Z</dcterms:created>
  <dcterms:modified xsi:type="dcterms:W3CDTF">2022-09-05T07:12:20Z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2022-02-25T11:28:14Z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81fa741d-7e53-4a81-933f-28feff5c7924</vt:lpwstr>
  </property>
  <property fmtid="{D5CDD505-2E9C-101B-9397-08002B2CF9AE}" pid="8" name="MSIP_Label_0c9a534a-49dd-43c4-b4e5-f206b4dbf0e4_ContentBits">
    <vt:lpwstr>0</vt:lpwstr>
  </property>
</Properties>
</file>