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69A8" w:rsidRDefault="00BD4AE1" w14:paraId="2EB48266" w14:textId="77777777">
      <w:pPr>
        <w:rPr>
          <w:rFonts w:ascii="Arial" w:hAnsi="Arial" w:cs="Arial"/>
          <w:b/>
          <w:bCs/>
        </w:rPr>
      </w:pPr>
      <w:r>
        <w:rPr>
          <w:rFonts w:ascii="Arial" w:hAnsi="Arial" w:cs="Arial"/>
          <w:b/>
          <w:bCs/>
        </w:rPr>
        <w:t>Accountability Report: Thematic Reports: Support:</w:t>
      </w:r>
    </w:p>
    <w:p w:rsidR="00BD69A8" w:rsidRDefault="00BD69A8" w14:paraId="5DFB3E3F" w14:textId="77777777">
      <w:pPr>
        <w:rPr>
          <w:rFonts w:ascii="Arial" w:hAnsi="Arial" w:cs="Arial"/>
          <w:b/>
          <w:bCs/>
        </w:rPr>
      </w:pPr>
    </w:p>
    <w:p w:rsidR="00BD69A8" w:rsidRDefault="00BD4AE1" w14:paraId="0A8FE3C3" w14:textId="77777777">
      <w:pPr>
        <w:rPr>
          <w:rFonts w:ascii="Arial" w:hAnsi="Arial" w:cs="Arial"/>
          <w:b/>
          <w:bCs/>
        </w:rPr>
      </w:pPr>
      <w:r>
        <w:rPr>
          <w:rFonts w:ascii="Arial" w:hAnsi="Arial" w:cs="Arial"/>
          <w:b/>
          <w:bCs/>
        </w:rPr>
        <w:t>C2: Improving Victims and Witness experiences of the CJS</w:t>
      </w:r>
    </w:p>
    <w:p w:rsidR="00BD69A8" w:rsidRDefault="00BD69A8" w14:paraId="4D216065" w14:textId="77777777">
      <w:pPr>
        <w:rPr>
          <w:rFonts w:ascii="Arial" w:hAnsi="Arial" w:cs="Arial"/>
        </w:rPr>
      </w:pPr>
    </w:p>
    <w:p w:rsidR="00BD69A8" w:rsidRDefault="00BD69A8" w14:paraId="147BD125" w14:textId="77777777">
      <w:pPr>
        <w:rPr>
          <w:rFonts w:ascii="Arial" w:hAnsi="Arial" w:cs="Arial"/>
        </w:rPr>
      </w:pPr>
    </w:p>
    <w:tbl>
      <w:tblPr>
        <w:tblW w:w="9209" w:type="dxa"/>
        <w:tblCellMar>
          <w:left w:w="10" w:type="dxa"/>
          <w:right w:w="10" w:type="dxa"/>
        </w:tblCellMar>
        <w:tblLook w:val="04A0" w:firstRow="1" w:lastRow="0" w:firstColumn="1" w:lastColumn="0" w:noHBand="0" w:noVBand="1"/>
      </w:tblPr>
      <w:tblGrid>
        <w:gridCol w:w="9209"/>
      </w:tblGrid>
      <w:tr w:rsidR="00BD69A8" w14:paraId="54B11183" w14:textId="77777777">
        <w:tblPrEx>
          <w:tblCellMar>
            <w:top w:w="0" w:type="dxa"/>
            <w:bottom w:w="0" w:type="dxa"/>
          </w:tblCellMar>
        </w:tblPrEx>
        <w:tc>
          <w:tcPr>
            <w:tcW w:w="9209"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BD69A8" w:rsidRDefault="00BD69A8" w14:paraId="6D1332BC" w14:textId="77777777">
            <w:pPr>
              <w:rPr>
                <w:rFonts w:ascii="Arial" w:hAnsi="Arial" w:cs="Arial"/>
                <w:b/>
                <w:bCs/>
              </w:rPr>
            </w:pPr>
          </w:p>
          <w:p w:rsidR="00BD69A8" w:rsidRDefault="00BD4AE1" w14:paraId="148E3C47" w14:textId="77777777">
            <w:pPr>
              <w:rPr>
                <w:rFonts w:ascii="Arial" w:hAnsi="Arial" w:cs="Arial"/>
                <w:b/>
                <w:bCs/>
              </w:rPr>
            </w:pPr>
            <w:r>
              <w:rPr>
                <w:rFonts w:ascii="Arial" w:hAnsi="Arial" w:cs="Arial"/>
                <w:b/>
                <w:bCs/>
              </w:rPr>
              <w:t>Victims Code of Practice</w:t>
            </w:r>
          </w:p>
          <w:p w:rsidR="00BD69A8" w:rsidRDefault="00BD69A8" w14:paraId="2FAB2B83" w14:textId="77777777">
            <w:pPr>
              <w:rPr>
                <w:rFonts w:ascii="Arial" w:hAnsi="Arial" w:cs="Arial"/>
              </w:rPr>
            </w:pPr>
          </w:p>
        </w:tc>
      </w:tr>
      <w:tr w:rsidR="00BD69A8" w14:paraId="3DC519D8" w14:textId="77777777">
        <w:tblPrEx>
          <w:tblCellMar>
            <w:top w:w="0" w:type="dxa"/>
            <w:bottom w:w="0" w:type="dxa"/>
          </w:tblCellMar>
        </w:tblPrEx>
        <w:trPr>
          <w:trHeight w:val="2825"/>
        </w:trPr>
        <w:tc>
          <w:tcPr>
            <w:tcW w:w="9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D69A8" w:rsidRDefault="00BD69A8" w14:paraId="27F9AF06" w14:textId="77777777">
            <w:pPr>
              <w:jc w:val="both"/>
              <w:rPr>
                <w:rFonts w:ascii="Arial" w:hAnsi="Arial" w:cs="Arial"/>
              </w:rPr>
            </w:pPr>
          </w:p>
          <w:p w:rsidR="00BD69A8" w:rsidRDefault="00BD4AE1" w14:paraId="30BC4A41" w14:textId="77777777">
            <w:pPr>
              <w:jc w:val="both"/>
              <w:rPr>
                <w:rFonts w:ascii="Arial" w:hAnsi="Arial" w:cs="Arial"/>
              </w:rPr>
            </w:pPr>
            <w:r>
              <w:rPr>
                <w:rFonts w:ascii="Arial" w:hAnsi="Arial" w:cs="Arial"/>
              </w:rPr>
              <w:t xml:space="preserve">This report provides an update since the previous Strategic Resources and Performance </w:t>
            </w:r>
            <w:r>
              <w:rPr>
                <w:rFonts w:ascii="Arial" w:hAnsi="Arial" w:cs="Arial"/>
              </w:rPr>
              <w:t>meeting.</w:t>
            </w:r>
          </w:p>
          <w:p w:rsidR="00BD69A8" w:rsidRDefault="00BD69A8" w14:paraId="4279679F" w14:textId="77777777">
            <w:pPr>
              <w:jc w:val="both"/>
              <w:rPr>
                <w:rFonts w:ascii="Arial" w:hAnsi="Arial" w:cs="Arial"/>
              </w:rPr>
            </w:pPr>
          </w:p>
          <w:p w:rsidR="00BD69A8" w:rsidRDefault="00BD4AE1" w14:paraId="46890798" w14:textId="77777777">
            <w:pPr>
              <w:jc w:val="both"/>
              <w:rPr>
                <w:rFonts w:ascii="Arial" w:hAnsi="Arial" w:cs="Arial"/>
              </w:rPr>
            </w:pPr>
            <w:r>
              <w:rPr>
                <w:rFonts w:ascii="Arial" w:hAnsi="Arial" w:cs="Arial"/>
              </w:rPr>
              <w:t>The purpose of this report is to update the Police and Crime Commissioner in relation to performance and compliance with the Victims Code (Victim Code of Practice (VCOP)) since the previous report.</w:t>
            </w:r>
          </w:p>
          <w:p w:rsidR="00BD69A8" w:rsidRDefault="00BD69A8" w14:paraId="11F51AFA" w14:textId="77777777">
            <w:pPr>
              <w:jc w:val="both"/>
              <w:rPr>
                <w:rFonts w:ascii="Arial" w:hAnsi="Arial" w:cs="Arial"/>
              </w:rPr>
            </w:pPr>
          </w:p>
          <w:p w:rsidR="00BD69A8" w:rsidRDefault="00BD4AE1" w14:paraId="0318AA9D" w14:textId="77777777">
            <w:pPr>
              <w:jc w:val="both"/>
              <w:rPr>
                <w:rFonts w:ascii="Arial" w:hAnsi="Arial" w:cs="Arial"/>
              </w:rPr>
            </w:pPr>
            <w:r>
              <w:rPr>
                <w:rFonts w:ascii="Arial" w:hAnsi="Arial" w:cs="Arial"/>
              </w:rPr>
              <w:t>The updated Victim Code went live in April 2021</w:t>
            </w:r>
            <w:r>
              <w:rPr>
                <w:rFonts w:ascii="Arial" w:hAnsi="Arial" w:cs="Arial"/>
              </w:rPr>
              <w:t xml:space="preserve"> and was fully supported by Nottinghamshire Police in its implementation.</w:t>
            </w:r>
          </w:p>
          <w:p w:rsidR="00BD69A8" w:rsidRDefault="00BD69A8" w14:paraId="6455E894" w14:textId="77777777">
            <w:pPr>
              <w:jc w:val="both"/>
              <w:rPr>
                <w:rFonts w:ascii="Arial" w:hAnsi="Arial" w:cs="Arial"/>
              </w:rPr>
            </w:pPr>
          </w:p>
          <w:p w:rsidR="00BD69A8" w:rsidRDefault="00BD4AE1" w14:paraId="4EC861AA" w14:textId="77777777">
            <w:pPr>
              <w:jc w:val="both"/>
              <w:rPr>
                <w:rFonts w:ascii="Arial" w:hAnsi="Arial" w:cs="Arial"/>
              </w:rPr>
            </w:pPr>
            <w:r>
              <w:rPr>
                <w:rFonts w:ascii="Arial" w:hAnsi="Arial" w:cs="Arial"/>
              </w:rPr>
              <w:t>The Victim Code, now simplified to 12 Victim Rights provides clear guidance to Criminal Justice Services on the level of service required of them.</w:t>
            </w:r>
          </w:p>
          <w:p w:rsidR="00BD69A8" w:rsidRDefault="00BD69A8" w14:paraId="785796D0" w14:textId="77777777">
            <w:pPr>
              <w:jc w:val="both"/>
              <w:rPr>
                <w:rFonts w:ascii="Arial" w:hAnsi="Arial" w:cs="Arial"/>
              </w:rPr>
            </w:pPr>
          </w:p>
          <w:p w:rsidR="00BD69A8" w:rsidRDefault="00BD4AE1" w14:paraId="5341A485" w14:textId="77777777">
            <w:pPr>
              <w:jc w:val="both"/>
              <w:rPr>
                <w:rFonts w:ascii="Arial" w:hAnsi="Arial" w:cs="Arial"/>
              </w:rPr>
            </w:pPr>
            <w:r>
              <w:rPr>
                <w:rFonts w:ascii="Arial" w:hAnsi="Arial" w:cs="Arial"/>
              </w:rPr>
              <w:t>Nottinghamshire Police are fulfil</w:t>
            </w:r>
            <w:r>
              <w:rPr>
                <w:rFonts w:ascii="Arial" w:hAnsi="Arial" w:cs="Arial"/>
              </w:rPr>
              <w:t>ling all 12 Victim Code Requirements and continue to develop monitoring and recording processes. This work is being undertaken in conjunction with the NPCC Victim and Witnesses Sub Performance Group which is also attended by the Ministry of Justice (</w:t>
            </w:r>
            <w:proofErr w:type="spellStart"/>
            <w:r>
              <w:rPr>
                <w:rFonts w:ascii="Arial" w:hAnsi="Arial" w:cs="Arial"/>
              </w:rPr>
              <w:t>MoJ</w:t>
            </w:r>
            <w:proofErr w:type="spellEnd"/>
            <w:r>
              <w:rPr>
                <w:rFonts w:ascii="Arial" w:hAnsi="Arial" w:cs="Arial"/>
              </w:rPr>
              <w:t>) t</w:t>
            </w:r>
            <w:r>
              <w:rPr>
                <w:rFonts w:ascii="Arial" w:hAnsi="Arial" w:cs="Arial"/>
              </w:rPr>
              <w:t>o ensure compliance, joint development.</w:t>
            </w:r>
          </w:p>
          <w:p w:rsidR="00BD69A8" w:rsidRDefault="00BD69A8" w14:paraId="18515F01" w14:textId="77777777">
            <w:pPr>
              <w:jc w:val="both"/>
              <w:rPr>
                <w:rFonts w:ascii="Arial" w:hAnsi="Arial" w:cs="Arial"/>
              </w:rPr>
            </w:pPr>
          </w:p>
          <w:p w:rsidR="00BD69A8" w:rsidRDefault="00BD4AE1" w14:paraId="04B6774B" w14:textId="77777777">
            <w:pPr>
              <w:jc w:val="both"/>
              <w:rPr>
                <w:rFonts w:ascii="Arial" w:hAnsi="Arial" w:cs="Arial"/>
                <w:b/>
                <w:bCs/>
              </w:rPr>
            </w:pPr>
            <w:r>
              <w:rPr>
                <w:rFonts w:ascii="Arial" w:hAnsi="Arial" w:cs="Arial"/>
                <w:b/>
                <w:bCs/>
              </w:rPr>
              <w:t>Governance, Compliance and Audits</w:t>
            </w:r>
          </w:p>
          <w:p w:rsidR="00BD69A8" w:rsidRDefault="00BD69A8" w14:paraId="670B2820" w14:textId="77777777">
            <w:pPr>
              <w:jc w:val="both"/>
              <w:rPr>
                <w:rFonts w:ascii="Arial" w:hAnsi="Arial" w:cs="Arial"/>
                <w:b/>
                <w:bCs/>
              </w:rPr>
            </w:pPr>
          </w:p>
          <w:p w:rsidR="00BD69A8" w:rsidRDefault="00BD4AE1" w14:paraId="320F3016" w14:textId="77777777">
            <w:pPr>
              <w:jc w:val="both"/>
              <w:rPr>
                <w:rFonts w:ascii="Arial" w:hAnsi="Arial" w:cs="Arial"/>
              </w:rPr>
            </w:pPr>
            <w:r>
              <w:rPr>
                <w:rFonts w:ascii="Arial" w:hAnsi="Arial" w:cs="Arial"/>
              </w:rPr>
              <w:t>Nottinghamshire Police governance of the Victim Code is well embedded.</w:t>
            </w:r>
          </w:p>
          <w:p w:rsidR="00BD69A8" w:rsidRDefault="00BD69A8" w14:paraId="0BB49B61" w14:textId="77777777">
            <w:pPr>
              <w:jc w:val="both"/>
              <w:rPr>
                <w:rFonts w:ascii="Arial" w:hAnsi="Arial" w:cs="Arial"/>
              </w:rPr>
            </w:pPr>
          </w:p>
          <w:p w:rsidR="00BD69A8" w:rsidRDefault="00BD4AE1" w14:paraId="2AB9947B" w14:textId="77777777">
            <w:pPr>
              <w:jc w:val="both"/>
              <w:rPr>
                <w:rFonts w:ascii="Arial" w:hAnsi="Arial" w:cs="Arial"/>
              </w:rPr>
            </w:pPr>
            <w:r>
              <w:rPr>
                <w:rFonts w:ascii="Arial" w:hAnsi="Arial" w:cs="Arial"/>
              </w:rPr>
              <w:t>In Force, quarterly Victim and Witness Assurance Board meetings, chaired by the Head of Crime (Detective C/S</w:t>
            </w:r>
            <w:r>
              <w:rPr>
                <w:rFonts w:ascii="Arial" w:hAnsi="Arial" w:cs="Arial"/>
              </w:rPr>
              <w:t xml:space="preserve">upt) review, </w:t>
            </w:r>
            <w:proofErr w:type="gramStart"/>
            <w:r>
              <w:rPr>
                <w:rFonts w:ascii="Arial" w:hAnsi="Arial" w:cs="Arial"/>
              </w:rPr>
              <w:t>monitor</w:t>
            </w:r>
            <w:proofErr w:type="gramEnd"/>
            <w:r>
              <w:rPr>
                <w:rFonts w:ascii="Arial" w:hAnsi="Arial" w:cs="Arial"/>
              </w:rPr>
              <w:t xml:space="preserve"> and develop the deliverance of the victim code in line with NPCC strategy. This consists of:</w:t>
            </w:r>
          </w:p>
          <w:p w:rsidR="00BD69A8" w:rsidRDefault="00BD4AE1" w14:paraId="2C820E06" w14:textId="77777777">
            <w:pPr>
              <w:pStyle w:val="ListParagraph"/>
              <w:numPr>
                <w:ilvl w:val="0"/>
                <w:numId w:val="1"/>
              </w:numPr>
              <w:jc w:val="both"/>
              <w:rPr>
                <w:rFonts w:ascii="Arial" w:hAnsi="Arial" w:cs="Arial"/>
              </w:rPr>
            </w:pPr>
            <w:r>
              <w:rPr>
                <w:rFonts w:ascii="Arial" w:hAnsi="Arial" w:cs="Arial"/>
              </w:rPr>
              <w:t xml:space="preserve">Delivering a consistent, good quality service to victims and </w:t>
            </w:r>
            <w:proofErr w:type="gramStart"/>
            <w:r>
              <w:rPr>
                <w:rFonts w:ascii="Arial" w:hAnsi="Arial" w:cs="Arial"/>
              </w:rPr>
              <w:t>witnesses;</w:t>
            </w:r>
            <w:proofErr w:type="gramEnd"/>
          </w:p>
          <w:p w:rsidR="00BD69A8" w:rsidRDefault="00BD4AE1" w14:paraId="1460BFC5" w14:textId="77777777">
            <w:pPr>
              <w:pStyle w:val="ListParagraph"/>
              <w:numPr>
                <w:ilvl w:val="0"/>
                <w:numId w:val="1"/>
              </w:numPr>
              <w:jc w:val="both"/>
              <w:rPr>
                <w:rFonts w:ascii="Arial" w:hAnsi="Arial" w:cs="Arial"/>
              </w:rPr>
            </w:pPr>
            <w:r>
              <w:rPr>
                <w:rFonts w:ascii="Arial" w:hAnsi="Arial" w:cs="Arial"/>
              </w:rPr>
              <w:t xml:space="preserve">support vulnerable victims and witnesses through the Criminal </w:t>
            </w:r>
            <w:r>
              <w:rPr>
                <w:rFonts w:ascii="Arial" w:hAnsi="Arial" w:cs="Arial"/>
              </w:rPr>
              <w:t>Justice system; and</w:t>
            </w:r>
          </w:p>
          <w:p w:rsidR="00BD69A8" w:rsidRDefault="00BD4AE1" w14:paraId="5EA995E5" w14:textId="77777777">
            <w:pPr>
              <w:pStyle w:val="ListParagraph"/>
              <w:numPr>
                <w:ilvl w:val="0"/>
                <w:numId w:val="1"/>
              </w:numPr>
              <w:jc w:val="both"/>
              <w:rPr>
                <w:rFonts w:ascii="Arial" w:hAnsi="Arial" w:cs="Arial"/>
              </w:rPr>
            </w:pPr>
            <w:r>
              <w:rPr>
                <w:rFonts w:ascii="Arial" w:hAnsi="Arial" w:cs="Arial"/>
              </w:rPr>
              <w:t>Build the confidence of victims and witnesses to report and remain engaged with the Criminal Justice process</w:t>
            </w:r>
          </w:p>
          <w:p w:rsidR="00BD69A8" w:rsidRDefault="00BD69A8" w14:paraId="2AE86E46" w14:textId="77777777">
            <w:pPr>
              <w:jc w:val="both"/>
              <w:rPr>
                <w:rFonts w:ascii="Arial" w:hAnsi="Arial" w:cs="Arial"/>
              </w:rPr>
            </w:pPr>
          </w:p>
          <w:p w:rsidR="00BD69A8" w:rsidRDefault="00BD4AE1" w14:paraId="31DB457A" w14:textId="77777777">
            <w:pPr>
              <w:jc w:val="both"/>
              <w:rPr>
                <w:rFonts w:ascii="Arial" w:hAnsi="Arial" w:cs="Arial"/>
              </w:rPr>
            </w:pPr>
            <w:r>
              <w:rPr>
                <w:rFonts w:ascii="Arial" w:hAnsi="Arial" w:cs="Arial"/>
              </w:rPr>
              <w:t xml:space="preserve">The Victim and Witness Assurance Board reports to the Nottinghamshire Police Criminal Justice Board chaired by T/ACC Griffin, </w:t>
            </w:r>
            <w:r>
              <w:rPr>
                <w:rFonts w:ascii="Arial" w:hAnsi="Arial" w:cs="Arial"/>
              </w:rPr>
              <w:t>which subsequently reports to the Nottinghamshire Criminal Justice Partnership Board (NCJPB) chaired by the Police and Crime Commissioner (PCC).</w:t>
            </w:r>
          </w:p>
          <w:p w:rsidR="00BD69A8" w:rsidRDefault="00BD69A8" w14:paraId="44052F30" w14:textId="77777777">
            <w:pPr>
              <w:jc w:val="both"/>
              <w:rPr>
                <w:rFonts w:ascii="Arial" w:hAnsi="Arial" w:cs="Arial"/>
              </w:rPr>
            </w:pPr>
          </w:p>
          <w:p w:rsidR="00BD69A8" w:rsidRDefault="00BD4AE1" w14:paraId="15F0246C" w14:textId="77777777">
            <w:pPr>
              <w:jc w:val="both"/>
              <w:rPr>
                <w:rFonts w:ascii="Arial" w:hAnsi="Arial" w:cs="Arial"/>
              </w:rPr>
            </w:pPr>
            <w:r>
              <w:rPr>
                <w:rFonts w:ascii="Arial" w:hAnsi="Arial" w:cs="Arial"/>
              </w:rPr>
              <w:t>In support of the governance, available for depts, supervisors and staff/officers for the management and deliv</w:t>
            </w:r>
            <w:r>
              <w:rPr>
                <w:rFonts w:ascii="Arial" w:hAnsi="Arial" w:cs="Arial"/>
              </w:rPr>
              <w:t>ery of the Victim Code are:</w:t>
            </w:r>
          </w:p>
          <w:p w:rsidR="00BD69A8" w:rsidRDefault="00BD4AE1" w14:paraId="38B210DC" w14:textId="77777777">
            <w:pPr>
              <w:pStyle w:val="ListParagraph"/>
              <w:numPr>
                <w:ilvl w:val="0"/>
                <w:numId w:val="2"/>
              </w:numPr>
              <w:jc w:val="both"/>
              <w:rPr>
                <w:rFonts w:ascii="Arial" w:hAnsi="Arial" w:cs="Arial"/>
              </w:rPr>
            </w:pPr>
            <w:r>
              <w:rPr>
                <w:rFonts w:ascii="Arial" w:hAnsi="Arial" w:cs="Arial"/>
              </w:rPr>
              <w:t>Team Packs</w:t>
            </w:r>
          </w:p>
          <w:p w:rsidR="00BD69A8" w:rsidRDefault="00BD4AE1" w14:paraId="223DA8A8" w14:textId="77777777">
            <w:pPr>
              <w:pStyle w:val="ListParagraph"/>
              <w:numPr>
                <w:ilvl w:val="0"/>
                <w:numId w:val="2"/>
              </w:numPr>
              <w:jc w:val="both"/>
              <w:rPr>
                <w:rFonts w:ascii="Arial" w:hAnsi="Arial" w:cs="Arial"/>
              </w:rPr>
            </w:pPr>
            <w:r>
              <w:rPr>
                <w:rFonts w:ascii="Arial" w:hAnsi="Arial" w:cs="Arial"/>
              </w:rPr>
              <w:t>Daily Performance Report (DPR)</w:t>
            </w:r>
          </w:p>
          <w:p w:rsidR="00BD69A8" w:rsidRDefault="00BD4AE1" w14:paraId="327BFB9D" w14:textId="77777777">
            <w:pPr>
              <w:pStyle w:val="ListParagraph"/>
              <w:numPr>
                <w:ilvl w:val="0"/>
                <w:numId w:val="2"/>
              </w:numPr>
              <w:jc w:val="both"/>
              <w:rPr>
                <w:rFonts w:ascii="Arial" w:hAnsi="Arial" w:cs="Arial"/>
              </w:rPr>
            </w:pPr>
            <w:r>
              <w:rPr>
                <w:rFonts w:ascii="Arial" w:hAnsi="Arial" w:cs="Arial"/>
              </w:rPr>
              <w:t>Victims App</w:t>
            </w:r>
          </w:p>
          <w:p w:rsidR="00BD69A8" w:rsidRDefault="00BD69A8" w14:paraId="597093EB" w14:textId="77777777">
            <w:pPr>
              <w:jc w:val="both"/>
              <w:rPr>
                <w:rFonts w:ascii="Arial" w:hAnsi="Arial" w:cs="Arial"/>
              </w:rPr>
            </w:pPr>
          </w:p>
          <w:p w:rsidR="00BD69A8" w:rsidRDefault="00BD4AE1" w14:paraId="4EE78F10" w14:textId="77777777">
            <w:pPr>
              <w:jc w:val="both"/>
              <w:rPr>
                <w:rFonts w:ascii="Arial" w:hAnsi="Arial" w:cs="Arial"/>
              </w:rPr>
            </w:pPr>
            <w:r>
              <w:rPr>
                <w:rFonts w:ascii="Arial" w:hAnsi="Arial" w:cs="Arial"/>
              </w:rPr>
              <w:t xml:space="preserve">Further to the above, </w:t>
            </w:r>
            <w:proofErr w:type="gramStart"/>
            <w:r>
              <w:rPr>
                <w:rFonts w:ascii="Arial" w:hAnsi="Arial" w:cs="Arial"/>
              </w:rPr>
              <w:t>monthly</w:t>
            </w:r>
            <w:proofErr w:type="gramEnd"/>
            <w:r>
              <w:rPr>
                <w:rFonts w:ascii="Arial" w:hAnsi="Arial" w:cs="Arial"/>
              </w:rPr>
              <w:t xml:space="preserve"> and annual data is produced and accessible from Management Information for officers and staff, which includes:</w:t>
            </w:r>
          </w:p>
          <w:p w:rsidR="00BD69A8" w:rsidRDefault="00BD69A8" w14:paraId="246839D9" w14:textId="77777777">
            <w:pPr>
              <w:jc w:val="both"/>
              <w:rPr>
                <w:rFonts w:ascii="Arial" w:hAnsi="Arial" w:cs="Arial"/>
              </w:rPr>
            </w:pPr>
          </w:p>
          <w:p w:rsidR="00BD69A8" w:rsidRDefault="00BD4AE1" w14:paraId="4D7FF5ED" w14:textId="77777777">
            <w:pPr>
              <w:pStyle w:val="ListParagraph"/>
              <w:numPr>
                <w:ilvl w:val="0"/>
                <w:numId w:val="3"/>
              </w:numPr>
              <w:jc w:val="both"/>
              <w:rPr>
                <w:rFonts w:ascii="Arial" w:hAnsi="Arial" w:cs="Arial"/>
              </w:rPr>
            </w:pPr>
            <w:r>
              <w:rPr>
                <w:rFonts w:ascii="Arial" w:hAnsi="Arial" w:cs="Arial"/>
              </w:rPr>
              <w:t>Numbers of VCOPs completed</w:t>
            </w:r>
          </w:p>
          <w:p w:rsidR="00BD69A8" w:rsidRDefault="00BD4AE1" w14:paraId="410A5280" w14:textId="77777777">
            <w:pPr>
              <w:pStyle w:val="ListParagraph"/>
              <w:numPr>
                <w:ilvl w:val="0"/>
                <w:numId w:val="3"/>
              </w:numPr>
              <w:jc w:val="both"/>
              <w:rPr>
                <w:rFonts w:ascii="Arial" w:hAnsi="Arial" w:cs="Arial"/>
              </w:rPr>
            </w:pPr>
            <w:r>
              <w:rPr>
                <w:rFonts w:ascii="Arial" w:hAnsi="Arial" w:cs="Arial"/>
              </w:rPr>
              <w:lastRenderedPageBreak/>
              <w:t>VCOP</w:t>
            </w:r>
            <w:r>
              <w:rPr>
                <w:rFonts w:ascii="Arial" w:hAnsi="Arial" w:cs="Arial"/>
              </w:rPr>
              <w:t xml:space="preserve"> Completed on the right victim/witness</w:t>
            </w:r>
          </w:p>
          <w:p w:rsidR="00BD69A8" w:rsidRDefault="00BD4AE1" w14:paraId="440BC454" w14:textId="77777777">
            <w:pPr>
              <w:pStyle w:val="ListParagraph"/>
              <w:numPr>
                <w:ilvl w:val="0"/>
                <w:numId w:val="3"/>
              </w:numPr>
              <w:jc w:val="both"/>
              <w:rPr>
                <w:rFonts w:ascii="Arial" w:hAnsi="Arial" w:cs="Arial"/>
              </w:rPr>
            </w:pPr>
            <w:r>
              <w:rPr>
                <w:rFonts w:ascii="Arial" w:hAnsi="Arial" w:cs="Arial"/>
              </w:rPr>
              <w:t>VCOP Quality compliance percentage</w:t>
            </w:r>
          </w:p>
          <w:p w:rsidR="00BD69A8" w:rsidRDefault="00BD4AE1" w14:paraId="12779D77" w14:textId="77777777">
            <w:pPr>
              <w:pStyle w:val="ListParagraph"/>
              <w:numPr>
                <w:ilvl w:val="0"/>
                <w:numId w:val="3"/>
              </w:numPr>
              <w:jc w:val="both"/>
              <w:rPr>
                <w:rFonts w:ascii="Arial" w:hAnsi="Arial" w:cs="Arial"/>
              </w:rPr>
            </w:pPr>
            <w:r>
              <w:rPr>
                <w:rFonts w:ascii="Arial" w:hAnsi="Arial" w:cs="Arial"/>
              </w:rPr>
              <w:t>Number of victims who consented for Information to be shared</w:t>
            </w:r>
          </w:p>
          <w:p w:rsidR="00BD69A8" w:rsidRDefault="00BD4AE1" w14:paraId="11E094A2" w14:textId="77777777">
            <w:pPr>
              <w:pStyle w:val="ListParagraph"/>
              <w:numPr>
                <w:ilvl w:val="0"/>
                <w:numId w:val="3"/>
              </w:numPr>
              <w:jc w:val="both"/>
              <w:rPr>
                <w:rFonts w:ascii="Arial" w:hAnsi="Arial" w:cs="Arial"/>
              </w:rPr>
            </w:pPr>
            <w:r>
              <w:rPr>
                <w:rFonts w:ascii="Arial" w:hAnsi="Arial" w:cs="Arial"/>
              </w:rPr>
              <w:t>Identification of Priority offences/victim/witnesses</w:t>
            </w:r>
          </w:p>
          <w:p w:rsidR="00BD69A8" w:rsidRDefault="00BD4AE1" w14:paraId="6FB2B961" w14:textId="77777777">
            <w:pPr>
              <w:pStyle w:val="ListParagraph"/>
              <w:numPr>
                <w:ilvl w:val="0"/>
                <w:numId w:val="3"/>
              </w:numPr>
              <w:jc w:val="both"/>
              <w:rPr>
                <w:rFonts w:ascii="Arial" w:hAnsi="Arial" w:cs="Arial"/>
              </w:rPr>
            </w:pPr>
            <w:r>
              <w:rPr>
                <w:rFonts w:ascii="Arial" w:hAnsi="Arial" w:cs="Arial"/>
              </w:rPr>
              <w:t>Frequency the victim/witness would like to be updated</w:t>
            </w:r>
          </w:p>
          <w:p w:rsidR="00BD69A8" w:rsidRDefault="00BD69A8" w14:paraId="367EB6B9" w14:textId="77777777">
            <w:pPr>
              <w:jc w:val="both"/>
              <w:rPr>
                <w:rFonts w:ascii="Arial" w:hAnsi="Arial" w:cs="Arial"/>
              </w:rPr>
            </w:pPr>
          </w:p>
          <w:p w:rsidR="00BD69A8" w:rsidRDefault="00BD4AE1" w14:paraId="3634B40B" w14:textId="77777777">
            <w:pPr>
              <w:jc w:val="both"/>
              <w:rPr>
                <w:rFonts w:ascii="Arial" w:hAnsi="Arial" w:cs="Arial"/>
              </w:rPr>
            </w:pPr>
            <w:r>
              <w:rPr>
                <w:rFonts w:ascii="Arial" w:hAnsi="Arial" w:cs="Arial"/>
              </w:rPr>
              <w:t xml:space="preserve">The Ministry </w:t>
            </w:r>
            <w:r>
              <w:rPr>
                <w:rFonts w:ascii="Arial" w:hAnsi="Arial" w:cs="Arial"/>
              </w:rPr>
              <w:t>of Justice (</w:t>
            </w:r>
            <w:proofErr w:type="spellStart"/>
            <w:r>
              <w:rPr>
                <w:rFonts w:ascii="Arial" w:hAnsi="Arial" w:cs="Arial"/>
              </w:rPr>
              <w:t>MoJ</w:t>
            </w:r>
            <w:proofErr w:type="spellEnd"/>
            <w:r>
              <w:rPr>
                <w:rFonts w:ascii="Arial" w:hAnsi="Arial" w:cs="Arial"/>
              </w:rPr>
              <w:t xml:space="preserve">) has provided all Police Forces with guidance in relation to completing undertaking Self-Assessments and completing Victim Code Audits. The </w:t>
            </w:r>
            <w:proofErr w:type="spellStart"/>
            <w:r>
              <w:rPr>
                <w:rFonts w:ascii="Arial" w:hAnsi="Arial" w:cs="Arial"/>
              </w:rPr>
              <w:t>MoJ</w:t>
            </w:r>
            <w:proofErr w:type="spellEnd"/>
            <w:r>
              <w:rPr>
                <w:rFonts w:ascii="Arial" w:hAnsi="Arial" w:cs="Arial"/>
              </w:rPr>
              <w:t xml:space="preserve"> guidance provided to date, </w:t>
            </w:r>
            <w:proofErr w:type="gramStart"/>
            <w:r>
              <w:rPr>
                <w:rFonts w:ascii="Arial" w:hAnsi="Arial" w:cs="Arial"/>
              </w:rPr>
              <w:t>however</w:t>
            </w:r>
            <w:proofErr w:type="gramEnd"/>
            <w:r>
              <w:rPr>
                <w:rFonts w:ascii="Arial" w:hAnsi="Arial" w:cs="Arial"/>
              </w:rPr>
              <w:t xml:space="preserve"> is subject to review requires Police Forces:</w:t>
            </w:r>
          </w:p>
          <w:p w:rsidR="00BD69A8" w:rsidRDefault="00BD69A8" w14:paraId="1EEBE5DC" w14:textId="77777777">
            <w:pPr>
              <w:jc w:val="both"/>
              <w:rPr>
                <w:rFonts w:ascii="Arial" w:hAnsi="Arial" w:cs="Arial"/>
              </w:rPr>
            </w:pPr>
          </w:p>
          <w:p w:rsidR="00BD69A8" w:rsidRDefault="00BD4AE1" w14:paraId="5ADDF6EC" w14:textId="77777777">
            <w:pPr>
              <w:pStyle w:val="ListParagraph"/>
              <w:numPr>
                <w:ilvl w:val="0"/>
                <w:numId w:val="4"/>
              </w:numPr>
              <w:jc w:val="both"/>
              <w:rPr>
                <w:rFonts w:ascii="Arial" w:hAnsi="Arial" w:cs="Arial"/>
              </w:rPr>
            </w:pPr>
            <w:r>
              <w:rPr>
                <w:rFonts w:ascii="Arial" w:hAnsi="Arial" w:cs="Arial"/>
              </w:rPr>
              <w:t xml:space="preserve">Dip </w:t>
            </w:r>
            <w:r>
              <w:rPr>
                <w:rFonts w:ascii="Arial" w:hAnsi="Arial" w:cs="Arial"/>
              </w:rPr>
              <w:t>sample of not fewer than 30 cases per quarter, for each agency involved in the victim’s journey to be completed.</w:t>
            </w:r>
          </w:p>
          <w:p w:rsidR="00BD69A8" w:rsidRDefault="00BD69A8" w14:paraId="105698F3" w14:textId="77777777">
            <w:pPr>
              <w:jc w:val="both"/>
              <w:rPr>
                <w:rFonts w:ascii="Arial" w:hAnsi="Arial" w:cs="Arial"/>
              </w:rPr>
            </w:pPr>
          </w:p>
          <w:p w:rsidR="00BD69A8" w:rsidRDefault="00BD4AE1" w14:paraId="65365441" w14:textId="77777777">
            <w:pPr>
              <w:jc w:val="both"/>
              <w:rPr>
                <w:rFonts w:ascii="Arial" w:hAnsi="Arial" w:cs="Arial"/>
              </w:rPr>
            </w:pPr>
            <w:r>
              <w:rPr>
                <w:rFonts w:ascii="Arial" w:hAnsi="Arial" w:cs="Arial"/>
              </w:rPr>
              <w:t>For the Police, this encompasses the following key points to be included in future audits:</w:t>
            </w:r>
          </w:p>
          <w:p w:rsidR="00BD69A8" w:rsidRDefault="00BD69A8" w14:paraId="704B215E" w14:textId="77777777">
            <w:pPr>
              <w:jc w:val="both"/>
              <w:rPr>
                <w:rFonts w:ascii="Arial" w:hAnsi="Arial" w:cs="Arial"/>
              </w:rPr>
            </w:pPr>
          </w:p>
          <w:p w:rsidR="00BD69A8" w:rsidRDefault="00BD4AE1" w14:paraId="0D4C1899" w14:textId="77777777">
            <w:pPr>
              <w:pStyle w:val="ListParagraph"/>
              <w:numPr>
                <w:ilvl w:val="0"/>
                <w:numId w:val="4"/>
              </w:numPr>
              <w:jc w:val="both"/>
              <w:rPr>
                <w:rFonts w:ascii="Arial" w:hAnsi="Arial" w:cs="Arial"/>
              </w:rPr>
            </w:pPr>
            <w:r>
              <w:rPr>
                <w:rFonts w:ascii="Arial" w:hAnsi="Arial" w:cs="Arial"/>
              </w:rPr>
              <w:t xml:space="preserve">Does the victim receive a written acknowledgement </w:t>
            </w:r>
            <w:r>
              <w:rPr>
                <w:rFonts w:ascii="Arial" w:hAnsi="Arial" w:cs="Arial"/>
              </w:rPr>
              <w:t>that a crime was reported?</w:t>
            </w:r>
          </w:p>
          <w:p w:rsidR="00BD69A8" w:rsidRDefault="00BD4AE1" w14:paraId="3B586C64" w14:textId="77777777">
            <w:pPr>
              <w:pStyle w:val="ListParagraph"/>
              <w:numPr>
                <w:ilvl w:val="0"/>
                <w:numId w:val="4"/>
              </w:numPr>
              <w:jc w:val="both"/>
              <w:rPr>
                <w:rFonts w:ascii="Arial" w:hAnsi="Arial" w:cs="Arial"/>
              </w:rPr>
            </w:pPr>
            <w:r>
              <w:rPr>
                <w:rFonts w:ascii="Arial" w:hAnsi="Arial" w:cs="Arial"/>
              </w:rPr>
              <w:t>Is the victim assessed and, unless opting out, referred to support services, within 2 days of the crime being reported?</w:t>
            </w:r>
          </w:p>
          <w:p w:rsidR="00BD69A8" w:rsidRDefault="00BD4AE1" w14:paraId="4A4304C1" w14:textId="77777777">
            <w:pPr>
              <w:pStyle w:val="ListParagraph"/>
              <w:numPr>
                <w:ilvl w:val="0"/>
                <w:numId w:val="4"/>
              </w:numPr>
              <w:jc w:val="both"/>
              <w:rPr>
                <w:rFonts w:ascii="Arial" w:hAnsi="Arial" w:cs="Arial"/>
              </w:rPr>
            </w:pPr>
            <w:r>
              <w:rPr>
                <w:rFonts w:ascii="Arial" w:hAnsi="Arial" w:cs="Arial"/>
              </w:rPr>
              <w:t xml:space="preserve">Are the updates the victim receives on the next steps including arrest, </w:t>
            </w:r>
            <w:proofErr w:type="gramStart"/>
            <w:r>
              <w:rPr>
                <w:rFonts w:ascii="Arial" w:hAnsi="Arial" w:cs="Arial"/>
              </w:rPr>
              <w:t>charge</w:t>
            </w:r>
            <w:proofErr w:type="gramEnd"/>
            <w:r>
              <w:rPr>
                <w:rFonts w:ascii="Arial" w:hAnsi="Arial" w:cs="Arial"/>
              </w:rPr>
              <w:t xml:space="preserve"> and bail timely and of a high </w:t>
            </w:r>
            <w:r>
              <w:rPr>
                <w:rFonts w:ascii="Arial" w:hAnsi="Arial" w:cs="Arial"/>
              </w:rPr>
              <w:t>quality?</w:t>
            </w:r>
          </w:p>
          <w:p w:rsidR="00BD69A8" w:rsidRDefault="00BD4AE1" w14:paraId="081A4472" w14:textId="77777777">
            <w:pPr>
              <w:pStyle w:val="ListParagraph"/>
              <w:numPr>
                <w:ilvl w:val="0"/>
                <w:numId w:val="4"/>
              </w:numPr>
              <w:jc w:val="both"/>
              <w:rPr>
                <w:rFonts w:ascii="Arial" w:hAnsi="Arial" w:cs="Arial"/>
              </w:rPr>
            </w:pPr>
            <w:r>
              <w:rPr>
                <w:rFonts w:ascii="Arial" w:hAnsi="Arial" w:cs="Arial"/>
              </w:rPr>
              <w:t xml:space="preserve">Is the victim informed of the end of their CJS journey? </w:t>
            </w:r>
          </w:p>
          <w:p w:rsidR="00BD69A8" w:rsidRDefault="00BD4AE1" w14:paraId="72C08534" w14:textId="77777777">
            <w:pPr>
              <w:pStyle w:val="ListParagraph"/>
              <w:numPr>
                <w:ilvl w:val="0"/>
                <w:numId w:val="4"/>
              </w:numPr>
              <w:jc w:val="both"/>
              <w:rPr>
                <w:rFonts w:ascii="Arial" w:hAnsi="Arial" w:cs="Arial"/>
              </w:rPr>
            </w:pPr>
            <w:r>
              <w:rPr>
                <w:rFonts w:ascii="Arial" w:hAnsi="Arial" w:cs="Arial"/>
              </w:rPr>
              <w:t>Was a VPS taken?</w:t>
            </w:r>
          </w:p>
          <w:p w:rsidR="00BD69A8" w:rsidRDefault="00BD69A8" w14:paraId="5EC31A25" w14:textId="77777777">
            <w:pPr>
              <w:jc w:val="both"/>
              <w:rPr>
                <w:rFonts w:ascii="Arial" w:hAnsi="Arial" w:cs="Arial"/>
              </w:rPr>
            </w:pPr>
          </w:p>
          <w:p w:rsidR="00BD69A8" w:rsidRDefault="00BD4AE1" w14:paraId="7DCED9D3" w14:textId="77777777">
            <w:pPr>
              <w:jc w:val="both"/>
              <w:rPr>
                <w:rFonts w:ascii="Arial" w:hAnsi="Arial" w:cs="Arial"/>
              </w:rPr>
            </w:pPr>
            <w:r>
              <w:rPr>
                <w:rFonts w:ascii="Arial" w:hAnsi="Arial" w:cs="Arial"/>
              </w:rPr>
              <w:t xml:space="preserve">Nottinghamshire Police have a schedule to audit the Force’s compliance with the Victim Code, which provides greater scrutiny than that suggested by the </w:t>
            </w:r>
            <w:proofErr w:type="spellStart"/>
            <w:r>
              <w:rPr>
                <w:rFonts w:ascii="Arial" w:hAnsi="Arial" w:cs="Arial"/>
              </w:rPr>
              <w:t>MoJ</w:t>
            </w:r>
            <w:proofErr w:type="spellEnd"/>
            <w:r>
              <w:rPr>
                <w:rFonts w:ascii="Arial" w:hAnsi="Arial" w:cs="Arial"/>
              </w:rPr>
              <w:t xml:space="preserve"> </w:t>
            </w:r>
            <w:r>
              <w:rPr>
                <w:rFonts w:ascii="Arial" w:hAnsi="Arial" w:cs="Arial"/>
              </w:rPr>
              <w:t>guidance.</w:t>
            </w:r>
          </w:p>
          <w:p w:rsidR="00BD69A8" w:rsidRDefault="00BD69A8" w14:paraId="0387726F" w14:textId="77777777">
            <w:pPr>
              <w:jc w:val="both"/>
              <w:rPr>
                <w:rFonts w:ascii="Arial" w:hAnsi="Arial" w:cs="Arial"/>
              </w:rPr>
            </w:pPr>
          </w:p>
          <w:p w:rsidR="00BD69A8" w:rsidRDefault="00BD4AE1" w14:paraId="7E3DCCAF" w14:textId="77777777">
            <w:pPr>
              <w:jc w:val="both"/>
              <w:rPr>
                <w:rFonts w:ascii="Arial" w:hAnsi="Arial" w:cs="Arial"/>
              </w:rPr>
            </w:pPr>
            <w:r>
              <w:rPr>
                <w:rFonts w:ascii="Arial" w:hAnsi="Arial" w:cs="Arial"/>
              </w:rPr>
              <w:t xml:space="preserve">The Nottinghamshire Police Audit samples 84 occurrences per quarter. The Audit includes 12 tests of compliance with the Victim Code, including those suggested by the </w:t>
            </w:r>
            <w:proofErr w:type="spellStart"/>
            <w:r>
              <w:rPr>
                <w:rFonts w:ascii="Arial" w:hAnsi="Arial" w:cs="Arial"/>
              </w:rPr>
              <w:t>MoJ</w:t>
            </w:r>
            <w:proofErr w:type="spellEnd"/>
            <w:r>
              <w:rPr>
                <w:rFonts w:ascii="Arial" w:hAnsi="Arial" w:cs="Arial"/>
              </w:rPr>
              <w:t>.</w:t>
            </w:r>
          </w:p>
          <w:p w:rsidR="00BD69A8" w:rsidRDefault="00BD69A8" w14:paraId="23E256E7" w14:textId="77777777">
            <w:pPr>
              <w:jc w:val="both"/>
              <w:rPr>
                <w:rFonts w:ascii="Arial" w:hAnsi="Arial" w:cs="Arial"/>
              </w:rPr>
            </w:pPr>
          </w:p>
          <w:p w:rsidR="00BD69A8" w:rsidRDefault="00BD4AE1" w14:paraId="3D2CA32D" w14:textId="77777777">
            <w:pPr>
              <w:jc w:val="both"/>
              <w:rPr>
                <w:rFonts w:ascii="Arial" w:hAnsi="Arial" w:cs="Arial"/>
              </w:rPr>
            </w:pPr>
            <w:r>
              <w:rPr>
                <w:rFonts w:ascii="Arial" w:hAnsi="Arial" w:cs="Arial"/>
              </w:rPr>
              <w:t>The sample occurrences used are:</w:t>
            </w:r>
          </w:p>
          <w:p w:rsidR="00BD69A8" w:rsidRDefault="00BD69A8" w14:paraId="747CC538" w14:textId="77777777">
            <w:pPr>
              <w:jc w:val="both"/>
              <w:rPr>
                <w:rFonts w:ascii="Arial" w:hAnsi="Arial" w:cs="Arial"/>
              </w:rPr>
            </w:pPr>
          </w:p>
          <w:p w:rsidR="00BD69A8" w:rsidRDefault="00BD4AE1" w14:paraId="71A6E74F" w14:textId="77777777">
            <w:pPr>
              <w:pStyle w:val="ListParagraph"/>
              <w:numPr>
                <w:ilvl w:val="0"/>
                <w:numId w:val="5"/>
              </w:numPr>
              <w:jc w:val="both"/>
              <w:rPr>
                <w:rFonts w:ascii="Arial" w:hAnsi="Arial" w:cs="Arial"/>
              </w:rPr>
            </w:pPr>
            <w:r>
              <w:rPr>
                <w:rFonts w:ascii="Arial" w:hAnsi="Arial" w:cs="Arial"/>
              </w:rPr>
              <w:t xml:space="preserve">Vehicle crime </w:t>
            </w:r>
          </w:p>
          <w:p w:rsidR="00BD69A8" w:rsidRDefault="00BD4AE1" w14:paraId="2B04A62E" w14:textId="77777777">
            <w:pPr>
              <w:pStyle w:val="ListParagraph"/>
              <w:numPr>
                <w:ilvl w:val="0"/>
                <w:numId w:val="5"/>
              </w:numPr>
              <w:jc w:val="both"/>
              <w:rPr>
                <w:rFonts w:ascii="Arial" w:hAnsi="Arial" w:cs="Arial"/>
              </w:rPr>
            </w:pPr>
            <w:r>
              <w:rPr>
                <w:rFonts w:ascii="Arial" w:hAnsi="Arial" w:cs="Arial"/>
              </w:rPr>
              <w:t xml:space="preserve">Burglary dwelling </w:t>
            </w:r>
          </w:p>
          <w:p w:rsidR="00BD69A8" w:rsidRDefault="00BD4AE1" w14:paraId="6C67FC83" w14:textId="77777777">
            <w:pPr>
              <w:pStyle w:val="ListParagraph"/>
              <w:numPr>
                <w:ilvl w:val="0"/>
                <w:numId w:val="5"/>
              </w:numPr>
              <w:jc w:val="both"/>
              <w:rPr>
                <w:rFonts w:ascii="Arial" w:hAnsi="Arial" w:cs="Arial"/>
              </w:rPr>
            </w:pPr>
            <w:r>
              <w:rPr>
                <w:rFonts w:ascii="Arial" w:hAnsi="Arial" w:cs="Arial"/>
              </w:rPr>
              <w:t>Viole</w:t>
            </w:r>
            <w:r>
              <w:rPr>
                <w:rFonts w:ascii="Arial" w:hAnsi="Arial" w:cs="Arial"/>
              </w:rPr>
              <w:t xml:space="preserve">nt crime (including weapon enabled violence) </w:t>
            </w:r>
          </w:p>
          <w:p w:rsidR="00BD69A8" w:rsidRDefault="00BD4AE1" w14:paraId="6C4F2A91" w14:textId="77777777">
            <w:pPr>
              <w:pStyle w:val="ListParagraph"/>
              <w:numPr>
                <w:ilvl w:val="0"/>
                <w:numId w:val="5"/>
              </w:numPr>
              <w:jc w:val="both"/>
              <w:rPr>
                <w:rFonts w:ascii="Arial" w:hAnsi="Arial" w:cs="Arial"/>
              </w:rPr>
            </w:pPr>
            <w:r>
              <w:rPr>
                <w:rFonts w:ascii="Arial" w:hAnsi="Arial" w:cs="Arial"/>
              </w:rPr>
              <w:t xml:space="preserve">Domestic Abuse </w:t>
            </w:r>
          </w:p>
          <w:p w:rsidR="00BD69A8" w:rsidRDefault="00BD4AE1" w14:paraId="3420FBFB" w14:textId="77777777">
            <w:pPr>
              <w:pStyle w:val="ListParagraph"/>
              <w:numPr>
                <w:ilvl w:val="0"/>
                <w:numId w:val="5"/>
              </w:numPr>
              <w:jc w:val="both"/>
              <w:rPr>
                <w:rFonts w:ascii="Arial" w:hAnsi="Arial" w:cs="Arial"/>
              </w:rPr>
            </w:pPr>
            <w:r>
              <w:rPr>
                <w:rFonts w:ascii="Arial" w:hAnsi="Arial" w:cs="Arial"/>
              </w:rPr>
              <w:t xml:space="preserve">Hate crime </w:t>
            </w:r>
          </w:p>
          <w:p w:rsidR="00BD69A8" w:rsidRDefault="00BD4AE1" w14:paraId="706F9709" w14:textId="77777777">
            <w:pPr>
              <w:pStyle w:val="ListParagraph"/>
              <w:numPr>
                <w:ilvl w:val="0"/>
                <w:numId w:val="5"/>
              </w:numPr>
              <w:jc w:val="both"/>
              <w:rPr>
                <w:rFonts w:ascii="Arial" w:hAnsi="Arial" w:cs="Arial"/>
              </w:rPr>
            </w:pPr>
            <w:r>
              <w:rPr>
                <w:rFonts w:ascii="Arial" w:hAnsi="Arial" w:cs="Arial"/>
              </w:rPr>
              <w:t xml:space="preserve">Sexual Offences (non-recent/historic) </w:t>
            </w:r>
          </w:p>
          <w:p w:rsidR="00BD69A8" w:rsidRDefault="00BD4AE1" w14:paraId="04021FB8" w14:textId="77777777">
            <w:pPr>
              <w:pStyle w:val="ListParagraph"/>
              <w:numPr>
                <w:ilvl w:val="0"/>
                <w:numId w:val="5"/>
              </w:numPr>
              <w:jc w:val="both"/>
              <w:rPr>
                <w:rFonts w:ascii="Arial" w:hAnsi="Arial" w:cs="Arial"/>
              </w:rPr>
            </w:pPr>
            <w:r>
              <w:rPr>
                <w:rFonts w:ascii="Arial" w:hAnsi="Arial" w:cs="Arial"/>
              </w:rPr>
              <w:t>Sexual Offences (recent reports)</w:t>
            </w:r>
          </w:p>
          <w:p w:rsidR="00BD69A8" w:rsidRDefault="00BD69A8" w14:paraId="60879B9A" w14:textId="77777777">
            <w:pPr>
              <w:jc w:val="both"/>
              <w:rPr>
                <w:rFonts w:ascii="Arial" w:hAnsi="Arial" w:cs="Arial"/>
              </w:rPr>
            </w:pPr>
          </w:p>
          <w:p w:rsidR="00BD69A8" w:rsidRDefault="00BD4AE1" w14:paraId="4D6940E8" w14:textId="77777777">
            <w:pPr>
              <w:jc w:val="both"/>
              <w:rPr>
                <w:rFonts w:ascii="Arial" w:hAnsi="Arial" w:cs="Arial"/>
              </w:rPr>
            </w:pPr>
            <w:r>
              <w:rPr>
                <w:rFonts w:ascii="Arial" w:hAnsi="Arial" w:cs="Arial"/>
              </w:rPr>
              <w:t xml:space="preserve">The inclusion of sexual offences and historic sexual offences supports the recommendations of the </w:t>
            </w:r>
            <w:r>
              <w:rPr>
                <w:rFonts w:ascii="Arial" w:hAnsi="Arial" w:cs="Arial"/>
              </w:rPr>
              <w:t>Independent Inquiry into Sexual Abuse (IICSA) and provides further scrutiny of victim code compliance.</w:t>
            </w:r>
          </w:p>
          <w:p w:rsidR="00BD69A8" w:rsidRDefault="00BD69A8" w14:paraId="59EBD594" w14:textId="77777777">
            <w:pPr>
              <w:jc w:val="both"/>
              <w:rPr>
                <w:rFonts w:ascii="Arial" w:hAnsi="Arial" w:cs="Arial"/>
              </w:rPr>
            </w:pPr>
          </w:p>
          <w:p w:rsidR="00BD69A8" w:rsidRDefault="00BD4AE1" w14:paraId="476D6BAD" w14:textId="77777777">
            <w:pPr>
              <w:jc w:val="both"/>
              <w:rPr>
                <w:rFonts w:ascii="Arial" w:hAnsi="Arial" w:cs="Arial"/>
                <w:b/>
                <w:bCs/>
              </w:rPr>
            </w:pPr>
            <w:r>
              <w:rPr>
                <w:rFonts w:ascii="Arial" w:hAnsi="Arial" w:cs="Arial"/>
                <w:b/>
                <w:bCs/>
              </w:rPr>
              <w:t>Victim Code Compliance Performance – Key Highlights</w:t>
            </w:r>
          </w:p>
          <w:p w:rsidR="00BD69A8" w:rsidRDefault="00BD69A8" w14:paraId="4BC8AEAD" w14:textId="77777777">
            <w:pPr>
              <w:jc w:val="both"/>
              <w:rPr>
                <w:rFonts w:ascii="Arial" w:hAnsi="Arial" w:cs="Arial"/>
              </w:rPr>
            </w:pPr>
          </w:p>
          <w:p w:rsidR="00BD69A8" w:rsidRDefault="00BD4AE1" w14:paraId="6CE21316" w14:textId="77777777">
            <w:pPr>
              <w:jc w:val="both"/>
              <w:rPr>
                <w:rFonts w:ascii="Arial" w:hAnsi="Arial" w:cs="Arial"/>
              </w:rPr>
            </w:pPr>
            <w:r>
              <w:rPr>
                <w:rFonts w:ascii="Arial" w:hAnsi="Arial" w:cs="Arial"/>
              </w:rPr>
              <w:t>Key Highlights</w:t>
            </w:r>
          </w:p>
          <w:p w:rsidR="00BD69A8" w:rsidRDefault="00BD69A8" w14:paraId="380336F1" w14:textId="77777777">
            <w:pPr>
              <w:jc w:val="both"/>
              <w:rPr>
                <w:rFonts w:ascii="Arial" w:hAnsi="Arial" w:cs="Arial"/>
              </w:rPr>
            </w:pPr>
          </w:p>
          <w:p w:rsidR="00BD69A8" w:rsidRDefault="00BD4AE1" w14:paraId="6E5F9071" w14:textId="77777777">
            <w:pPr>
              <w:pStyle w:val="ListParagraph"/>
              <w:numPr>
                <w:ilvl w:val="0"/>
                <w:numId w:val="6"/>
              </w:numPr>
              <w:jc w:val="both"/>
              <w:rPr>
                <w:rFonts w:ascii="Arial" w:hAnsi="Arial" w:cs="Arial"/>
              </w:rPr>
            </w:pPr>
            <w:r>
              <w:rPr>
                <w:rFonts w:ascii="Arial" w:hAnsi="Arial" w:cs="Arial"/>
              </w:rPr>
              <w:t xml:space="preserve">Over 95% compliance with Victim Code requirement over a rolling </w:t>
            </w:r>
            <w:proofErr w:type="gramStart"/>
            <w:r>
              <w:rPr>
                <w:rFonts w:ascii="Arial" w:hAnsi="Arial" w:cs="Arial"/>
              </w:rPr>
              <w:t>12 month</w:t>
            </w:r>
            <w:proofErr w:type="gramEnd"/>
            <w:r>
              <w:rPr>
                <w:rFonts w:ascii="Arial" w:hAnsi="Arial" w:cs="Arial"/>
              </w:rPr>
              <w:t xml:space="preserve"> period (20</w:t>
            </w:r>
            <w:r>
              <w:rPr>
                <w:rFonts w:ascii="Arial" w:hAnsi="Arial" w:cs="Arial"/>
              </w:rPr>
              <w:t>21/22)</w:t>
            </w:r>
          </w:p>
          <w:p w:rsidR="00BD69A8" w:rsidRDefault="00BD4AE1" w14:paraId="63353789" w14:textId="77777777">
            <w:pPr>
              <w:pStyle w:val="ListParagraph"/>
              <w:numPr>
                <w:ilvl w:val="0"/>
                <w:numId w:val="6"/>
              </w:numPr>
              <w:jc w:val="both"/>
              <w:rPr>
                <w:rFonts w:ascii="Arial" w:hAnsi="Arial" w:cs="Arial"/>
              </w:rPr>
            </w:pPr>
            <w:r>
              <w:rPr>
                <w:rFonts w:ascii="Arial" w:hAnsi="Arial" w:cs="Arial"/>
              </w:rPr>
              <w:t>Over 93% compliance of Victims Needs Assessments completed. Most recent data Quarter 4 2021/22 has achieved 96% compliance</w:t>
            </w:r>
          </w:p>
          <w:p w:rsidR="00BD69A8" w:rsidRDefault="00BD4AE1" w14:paraId="0BA05F9C" w14:textId="77777777">
            <w:pPr>
              <w:pStyle w:val="ListParagraph"/>
              <w:numPr>
                <w:ilvl w:val="0"/>
                <w:numId w:val="6"/>
              </w:numPr>
              <w:jc w:val="both"/>
              <w:rPr>
                <w:rFonts w:ascii="Arial" w:hAnsi="Arial" w:cs="Arial"/>
              </w:rPr>
            </w:pPr>
            <w:r>
              <w:rPr>
                <w:rFonts w:ascii="Arial" w:hAnsi="Arial" w:cs="Arial"/>
              </w:rPr>
              <w:t>100% compliance of victims assessed being referred to Victim CARE services within two days.</w:t>
            </w:r>
          </w:p>
          <w:p w:rsidR="00BD69A8" w:rsidRDefault="00BD4AE1" w14:paraId="2280992C" w14:textId="77777777">
            <w:pPr>
              <w:pStyle w:val="ListParagraph"/>
              <w:numPr>
                <w:ilvl w:val="0"/>
                <w:numId w:val="6"/>
              </w:numPr>
              <w:jc w:val="both"/>
              <w:rPr>
                <w:rFonts w:ascii="Arial" w:hAnsi="Arial" w:cs="Arial"/>
              </w:rPr>
            </w:pPr>
            <w:r>
              <w:rPr>
                <w:rFonts w:ascii="Arial" w:hAnsi="Arial" w:cs="Arial"/>
              </w:rPr>
              <w:lastRenderedPageBreak/>
              <w:t>Over 80% compliance of victim upda</w:t>
            </w:r>
            <w:r>
              <w:rPr>
                <w:rFonts w:ascii="Arial" w:hAnsi="Arial" w:cs="Arial"/>
              </w:rPr>
              <w:t>tes being completed within 21 days, unless otherwise specified by the victim. This continued to improve year on year.</w:t>
            </w:r>
          </w:p>
          <w:p w:rsidR="00BD69A8" w:rsidRDefault="00BD4AE1" w14:paraId="3A80FAFC" w14:textId="77777777">
            <w:pPr>
              <w:pStyle w:val="ListParagraph"/>
              <w:numPr>
                <w:ilvl w:val="0"/>
                <w:numId w:val="6"/>
              </w:numPr>
              <w:jc w:val="both"/>
              <w:rPr>
                <w:rFonts w:ascii="Arial" w:hAnsi="Arial" w:cs="Arial"/>
              </w:rPr>
            </w:pPr>
            <w:r>
              <w:rPr>
                <w:rFonts w:ascii="Arial" w:hAnsi="Arial" w:cs="Arial"/>
              </w:rPr>
              <w:t>Over 86% of victims informed of how the investigation has been finalised.</w:t>
            </w:r>
          </w:p>
          <w:p w:rsidR="00BD69A8" w:rsidRDefault="00BD69A8" w14:paraId="012972C3" w14:textId="77777777">
            <w:pPr>
              <w:jc w:val="both"/>
              <w:rPr>
                <w:rFonts w:ascii="Arial" w:hAnsi="Arial" w:cs="Arial"/>
              </w:rPr>
            </w:pPr>
          </w:p>
          <w:p w:rsidR="00BD69A8" w:rsidRDefault="00BD4AE1" w14:paraId="2E2454D2" w14:textId="77777777">
            <w:pPr>
              <w:jc w:val="both"/>
              <w:rPr>
                <w:rFonts w:ascii="Arial" w:hAnsi="Arial" w:cs="Arial"/>
                <w:b/>
                <w:bCs/>
              </w:rPr>
            </w:pPr>
            <w:r>
              <w:rPr>
                <w:rFonts w:ascii="Arial" w:hAnsi="Arial" w:cs="Arial"/>
                <w:b/>
                <w:bCs/>
              </w:rPr>
              <w:t>Victim Support Offered</w:t>
            </w:r>
          </w:p>
          <w:p w:rsidR="00BD69A8" w:rsidRDefault="00BD69A8" w14:paraId="42D6B5AF" w14:textId="77777777">
            <w:pPr>
              <w:jc w:val="both"/>
              <w:rPr>
                <w:rFonts w:ascii="Arial" w:hAnsi="Arial" w:cs="Arial"/>
              </w:rPr>
            </w:pPr>
          </w:p>
          <w:p w:rsidR="00BD69A8" w:rsidRDefault="00BD4AE1" w14:paraId="4204E529" w14:textId="77777777">
            <w:pPr>
              <w:jc w:val="both"/>
              <w:rPr>
                <w:rFonts w:ascii="Arial" w:hAnsi="Arial" w:cs="Arial"/>
              </w:rPr>
            </w:pPr>
            <w:r>
              <w:rPr>
                <w:rFonts w:ascii="Arial" w:hAnsi="Arial" w:cs="Arial"/>
              </w:rPr>
              <w:t>Victim CARE is the commissioned provide</w:t>
            </w:r>
            <w:r>
              <w:rPr>
                <w:rFonts w:ascii="Arial" w:hAnsi="Arial" w:cs="Arial"/>
              </w:rPr>
              <w:t>r of victim support services. Nottinghamshire Police currently operate an ‘</w:t>
            </w:r>
            <w:proofErr w:type="spellStart"/>
            <w:r>
              <w:rPr>
                <w:rFonts w:ascii="Arial" w:hAnsi="Arial" w:cs="Arial"/>
              </w:rPr>
              <w:t>Opt</w:t>
            </w:r>
            <w:proofErr w:type="spellEnd"/>
            <w:r>
              <w:rPr>
                <w:rFonts w:ascii="Arial" w:hAnsi="Arial" w:cs="Arial"/>
              </w:rPr>
              <w:t xml:space="preserve"> In’ choice, where referrals are only made with the consent of the victim.</w:t>
            </w:r>
          </w:p>
          <w:p w:rsidR="00BD69A8" w:rsidRDefault="00BD69A8" w14:paraId="50D82B50" w14:textId="77777777">
            <w:pPr>
              <w:jc w:val="both"/>
              <w:rPr>
                <w:rFonts w:ascii="Arial" w:hAnsi="Arial" w:cs="Arial"/>
              </w:rPr>
            </w:pPr>
          </w:p>
          <w:p w:rsidR="00BD69A8" w:rsidRDefault="00BD4AE1" w14:paraId="1002789A" w14:textId="77777777">
            <w:pPr>
              <w:jc w:val="both"/>
              <w:rPr>
                <w:rFonts w:ascii="Arial" w:hAnsi="Arial" w:cs="Arial"/>
              </w:rPr>
            </w:pPr>
            <w:r>
              <w:rPr>
                <w:rFonts w:ascii="Arial" w:hAnsi="Arial" w:cs="Arial"/>
              </w:rPr>
              <w:t>Once consent is given an automated referral is made within two working days. Over 95% of all victims a</w:t>
            </w:r>
            <w:r>
              <w:rPr>
                <w:rFonts w:ascii="Arial" w:hAnsi="Arial" w:cs="Arial"/>
              </w:rPr>
              <w:t>nd witnesses are offered Victim CARE services.</w:t>
            </w:r>
          </w:p>
          <w:p w:rsidR="00BD69A8" w:rsidRDefault="00BD69A8" w14:paraId="49D96BEF" w14:textId="77777777">
            <w:pPr>
              <w:jc w:val="both"/>
              <w:rPr>
                <w:rFonts w:ascii="Arial" w:hAnsi="Arial" w:cs="Arial"/>
              </w:rPr>
            </w:pPr>
          </w:p>
          <w:p w:rsidR="00BD69A8" w:rsidRDefault="00BD4AE1" w14:paraId="350E8E4F" w14:textId="77777777">
            <w:pPr>
              <w:jc w:val="both"/>
              <w:rPr>
                <w:rFonts w:ascii="Arial" w:hAnsi="Arial" w:cs="Arial"/>
              </w:rPr>
            </w:pPr>
            <w:r>
              <w:rPr>
                <w:rFonts w:ascii="Arial" w:hAnsi="Arial" w:cs="Arial"/>
              </w:rPr>
              <w:t>Over the 12-month period (2021/22) the percentage of people accepting the Victim Care referrals has increased by 5% to over 20%.</w:t>
            </w:r>
          </w:p>
          <w:p w:rsidR="00BD69A8" w:rsidRDefault="00BD69A8" w14:paraId="0A76486A" w14:textId="77777777">
            <w:pPr>
              <w:jc w:val="both"/>
              <w:rPr>
                <w:rFonts w:ascii="Arial" w:hAnsi="Arial" w:cs="Arial"/>
              </w:rPr>
            </w:pPr>
          </w:p>
          <w:p w:rsidR="00BD69A8" w:rsidRDefault="00BD4AE1" w14:paraId="76C4CA92" w14:textId="77777777">
            <w:pPr>
              <w:jc w:val="both"/>
              <w:rPr>
                <w:rFonts w:ascii="Arial" w:hAnsi="Arial" w:cs="Arial"/>
                <w:b/>
                <w:bCs/>
              </w:rPr>
            </w:pPr>
            <w:r>
              <w:rPr>
                <w:rFonts w:ascii="Arial" w:hAnsi="Arial" w:cs="Arial"/>
                <w:b/>
                <w:bCs/>
              </w:rPr>
              <w:t>Training and Future Developments</w:t>
            </w:r>
          </w:p>
          <w:p w:rsidR="00BD69A8" w:rsidRDefault="00BD69A8" w14:paraId="769C287D" w14:textId="77777777">
            <w:pPr>
              <w:jc w:val="both"/>
              <w:rPr>
                <w:rFonts w:ascii="Arial" w:hAnsi="Arial" w:cs="Arial"/>
              </w:rPr>
            </w:pPr>
          </w:p>
          <w:p w:rsidR="00BD69A8" w:rsidRDefault="00BD4AE1" w14:paraId="5FCA4183" w14:textId="77777777">
            <w:pPr>
              <w:jc w:val="both"/>
              <w:rPr>
                <w:rFonts w:ascii="Arial" w:hAnsi="Arial" w:cs="Arial"/>
              </w:rPr>
            </w:pPr>
            <w:r>
              <w:rPr>
                <w:rFonts w:ascii="Arial" w:hAnsi="Arial" w:cs="Arial"/>
              </w:rPr>
              <w:t xml:space="preserve">New training has been developed for all new </w:t>
            </w:r>
            <w:r>
              <w:rPr>
                <w:rFonts w:ascii="Arial" w:hAnsi="Arial" w:cs="Arial"/>
              </w:rPr>
              <w:t>recruits to Nottinghamshire Police and is provided as part their induction. This includes Force and National requirements and the use of the Nottinghamshire Police Victim App.</w:t>
            </w:r>
          </w:p>
          <w:p w:rsidR="00BD69A8" w:rsidRDefault="00BD69A8" w14:paraId="6D403367" w14:textId="77777777">
            <w:pPr>
              <w:jc w:val="both"/>
              <w:rPr>
                <w:rFonts w:ascii="Arial" w:hAnsi="Arial" w:cs="Arial"/>
              </w:rPr>
            </w:pPr>
          </w:p>
          <w:p w:rsidR="00BD69A8" w:rsidRDefault="00BD4AE1" w14:paraId="5300D713" w14:textId="77777777">
            <w:pPr>
              <w:jc w:val="both"/>
              <w:rPr>
                <w:rFonts w:ascii="Arial" w:hAnsi="Arial" w:cs="Arial"/>
              </w:rPr>
            </w:pPr>
            <w:r>
              <w:rPr>
                <w:rFonts w:ascii="Arial" w:hAnsi="Arial" w:cs="Arial"/>
              </w:rPr>
              <w:t xml:space="preserve">Currently over 87% of all officers and staff have completed </w:t>
            </w:r>
            <w:proofErr w:type="spellStart"/>
            <w:r>
              <w:rPr>
                <w:rFonts w:ascii="Arial" w:hAnsi="Arial" w:cs="Arial"/>
              </w:rPr>
              <w:t>Ncalt</w:t>
            </w:r>
            <w:proofErr w:type="spellEnd"/>
            <w:r>
              <w:rPr>
                <w:rFonts w:ascii="Arial" w:hAnsi="Arial" w:cs="Arial"/>
              </w:rPr>
              <w:t xml:space="preserve"> training on t</w:t>
            </w:r>
            <w:r>
              <w:rPr>
                <w:rFonts w:ascii="Arial" w:hAnsi="Arial" w:cs="Arial"/>
              </w:rPr>
              <w:t>he Victims Code.</w:t>
            </w:r>
          </w:p>
          <w:p w:rsidR="00BD69A8" w:rsidRDefault="00BD69A8" w14:paraId="6247DA07" w14:textId="77777777">
            <w:pPr>
              <w:jc w:val="both"/>
              <w:rPr>
                <w:rFonts w:ascii="Arial" w:hAnsi="Arial" w:cs="Arial"/>
              </w:rPr>
            </w:pPr>
          </w:p>
          <w:p w:rsidR="00BD69A8" w:rsidRDefault="00BD4AE1" w14:paraId="79842E7C" w14:textId="77777777">
            <w:pPr>
              <w:jc w:val="both"/>
              <w:rPr>
                <w:rFonts w:ascii="Arial" w:hAnsi="Arial" w:cs="Arial"/>
              </w:rPr>
            </w:pPr>
            <w:r>
              <w:rPr>
                <w:rFonts w:ascii="Arial" w:hAnsi="Arial" w:cs="Arial"/>
              </w:rPr>
              <w:t>Despite the challenges of Covid, during 2021/22 all front-line police officers and supervisors received training on the new Victim Code. This was completed jointly by the Force Victim Lead and Victim CARE services.</w:t>
            </w:r>
          </w:p>
          <w:p w:rsidR="00BD69A8" w:rsidRDefault="00BD69A8" w14:paraId="5EF8331F" w14:textId="77777777">
            <w:pPr>
              <w:jc w:val="both"/>
              <w:rPr>
                <w:rFonts w:ascii="Arial" w:hAnsi="Arial" w:cs="Arial"/>
              </w:rPr>
            </w:pPr>
          </w:p>
          <w:p w:rsidR="00BD69A8" w:rsidRDefault="00BD4AE1" w14:paraId="72CE11A3" w14:textId="77777777">
            <w:pPr>
              <w:jc w:val="both"/>
              <w:rPr>
                <w:rFonts w:ascii="Arial" w:hAnsi="Arial" w:cs="Arial"/>
              </w:rPr>
            </w:pPr>
            <w:r>
              <w:rPr>
                <w:rFonts w:ascii="Arial" w:hAnsi="Arial" w:cs="Arial"/>
              </w:rPr>
              <w:t xml:space="preserve">This training is </w:t>
            </w:r>
            <w:r>
              <w:rPr>
                <w:rFonts w:ascii="Arial" w:hAnsi="Arial" w:cs="Arial"/>
              </w:rPr>
              <w:t>due to be delivered to Public Protection Teams during 2022.</w:t>
            </w:r>
          </w:p>
          <w:p w:rsidR="00BD69A8" w:rsidRDefault="00BD4AE1" w14:paraId="66879133" w14:textId="77777777">
            <w:pPr>
              <w:jc w:val="both"/>
              <w:rPr>
                <w:rFonts w:ascii="Arial" w:hAnsi="Arial" w:cs="Arial"/>
              </w:rPr>
            </w:pPr>
            <w:r>
              <w:rPr>
                <w:rFonts w:ascii="Arial" w:hAnsi="Arial" w:cs="Arial"/>
              </w:rPr>
              <w:t xml:space="preserve"> </w:t>
            </w:r>
          </w:p>
          <w:p w:rsidR="00BD69A8" w:rsidRDefault="00BD4AE1" w14:paraId="79DA3C72" w14:textId="77777777">
            <w:pPr>
              <w:jc w:val="both"/>
              <w:rPr>
                <w:rFonts w:ascii="Arial" w:hAnsi="Arial" w:cs="Arial"/>
              </w:rPr>
            </w:pPr>
            <w:r>
              <w:rPr>
                <w:rFonts w:ascii="Arial" w:hAnsi="Arial" w:cs="Arial"/>
              </w:rPr>
              <w:t>The updated Force Intranet Site provides a resource for all officers and staff to access 24/7 support reference the Victim Code.</w:t>
            </w:r>
          </w:p>
          <w:p w:rsidR="00BD69A8" w:rsidRDefault="00BD69A8" w14:paraId="444DE956" w14:textId="77777777">
            <w:pPr>
              <w:jc w:val="both"/>
              <w:rPr>
                <w:rFonts w:ascii="Arial" w:hAnsi="Arial" w:cs="Arial"/>
              </w:rPr>
            </w:pPr>
          </w:p>
          <w:p w:rsidR="00BD69A8" w:rsidRDefault="00BD4AE1" w14:paraId="7BFD4EE5" w14:textId="77777777">
            <w:pPr>
              <w:jc w:val="both"/>
              <w:rPr>
                <w:rFonts w:ascii="Arial" w:hAnsi="Arial" w:cs="Arial"/>
              </w:rPr>
            </w:pPr>
            <w:r>
              <w:rPr>
                <w:rFonts w:ascii="Arial" w:hAnsi="Arial" w:cs="Arial"/>
              </w:rPr>
              <w:t xml:space="preserve">Further work is being undertaken at Force and National level to </w:t>
            </w:r>
            <w:r>
              <w:rPr>
                <w:rFonts w:ascii="Arial" w:hAnsi="Arial" w:cs="Arial"/>
              </w:rPr>
              <w:t>improve Victim Code recording and compliance with new developments within Niche proposed for later 2022 to support front line officers and provide more quantitative and qualitative data.</w:t>
            </w:r>
          </w:p>
          <w:p w:rsidR="00BD69A8" w:rsidRDefault="00BD69A8" w14:paraId="3FC8B269" w14:textId="77777777">
            <w:pPr>
              <w:jc w:val="both"/>
              <w:rPr>
                <w:rFonts w:ascii="Arial" w:hAnsi="Arial" w:cs="Arial"/>
              </w:rPr>
            </w:pPr>
          </w:p>
          <w:p w:rsidR="00BD69A8" w:rsidRDefault="00BD69A8" w14:paraId="11712C81" w14:textId="77777777">
            <w:pPr>
              <w:jc w:val="both"/>
              <w:rPr>
                <w:rFonts w:ascii="Arial" w:hAnsi="Arial" w:cs="Arial"/>
              </w:rPr>
            </w:pPr>
          </w:p>
        </w:tc>
      </w:tr>
    </w:tbl>
    <w:p w:rsidR="00BD69A8" w:rsidRDefault="00BD69A8" w14:paraId="4D7D4A29" w14:textId="77777777">
      <w:pPr>
        <w:rPr>
          <w:rFonts w:ascii="Arial" w:hAnsi="Arial" w:cs="Arial"/>
          <w:color w:val="101010"/>
          <w:sz w:val="18"/>
          <w:szCs w:val="18"/>
          <w:shd w:val="clear" w:color="auto" w:fill="EBF2F9"/>
        </w:rPr>
      </w:pPr>
    </w:p>
    <w:p w:rsidR="00BD69A8" w:rsidRDefault="00BD69A8" w14:paraId="5A92E6CD" w14:textId="77777777">
      <w:pPr>
        <w:rPr>
          <w:rFonts w:ascii="Arial" w:hAnsi="Arial" w:cs="Arial"/>
          <w:color w:val="101010"/>
          <w:sz w:val="18"/>
          <w:szCs w:val="18"/>
          <w:shd w:val="clear" w:color="auto" w:fill="EBF2F9"/>
        </w:rPr>
      </w:pPr>
    </w:p>
    <w:p w:rsidR="00BD69A8" w:rsidRDefault="00BD69A8" w14:paraId="50AD337E" w14:textId="77777777">
      <w:pPr>
        <w:rPr>
          <w:rFonts w:ascii="Arial" w:hAnsi="Arial" w:cs="Arial"/>
          <w:color w:val="101010"/>
          <w:sz w:val="18"/>
          <w:szCs w:val="18"/>
          <w:shd w:val="clear" w:color="auto" w:fill="EBF2F9"/>
        </w:rPr>
      </w:pPr>
    </w:p>
    <w:p w:rsidR="00BD69A8" w:rsidRDefault="00BD69A8" w14:paraId="1F9D4DA1" w14:textId="77777777">
      <w:pPr>
        <w:rPr>
          <w:rFonts w:ascii="Arial" w:hAnsi="Arial" w:cs="Arial"/>
          <w:color w:val="101010"/>
          <w:sz w:val="18"/>
          <w:szCs w:val="18"/>
          <w:shd w:val="clear" w:color="auto" w:fill="EBF2F9"/>
        </w:rPr>
      </w:pPr>
    </w:p>
    <w:p w:rsidR="00BD69A8" w:rsidRDefault="00BD69A8" w14:paraId="70B7DFB2" w14:textId="77777777">
      <w:pPr>
        <w:rPr>
          <w:rFonts w:ascii="Arial" w:hAnsi="Arial" w:cs="Arial"/>
          <w:color w:val="101010"/>
          <w:sz w:val="18"/>
          <w:szCs w:val="18"/>
          <w:shd w:val="clear" w:color="auto" w:fill="EBF2F9"/>
        </w:rPr>
      </w:pPr>
      <w:bookmarkStart w:name="_Hlk103082925" w:id="0"/>
    </w:p>
    <w:p w:rsidR="00BD69A8" w:rsidRDefault="00BD69A8" w14:paraId="590D9112" w14:textId="77777777">
      <w:pPr>
        <w:rPr>
          <w:rFonts w:ascii="Arial" w:hAnsi="Arial" w:cs="Arial"/>
          <w:color w:val="101010"/>
          <w:sz w:val="18"/>
          <w:szCs w:val="18"/>
          <w:shd w:val="clear" w:color="auto" w:fill="EBF2F9"/>
        </w:rPr>
      </w:pPr>
    </w:p>
    <w:p w:rsidR="00BD69A8" w:rsidRDefault="00BD69A8" w14:paraId="78833E78" w14:textId="77777777">
      <w:pPr>
        <w:rPr>
          <w:rFonts w:ascii="Arial" w:hAnsi="Arial" w:cs="Arial"/>
          <w:color w:val="101010"/>
          <w:sz w:val="18"/>
          <w:szCs w:val="18"/>
          <w:shd w:val="clear" w:color="auto" w:fill="EBF2F9"/>
        </w:rPr>
      </w:pPr>
    </w:p>
    <w:p w:rsidR="00BD69A8" w:rsidRDefault="00BD69A8" w14:paraId="5E00871D" w14:textId="77777777"/>
    <w:bookmarkEnd w:id="0"/>
    <w:p w:rsidR="00BD69A8" w:rsidRDefault="00BD69A8" w14:paraId="554C57BF" w14:textId="77777777"/>
    <w:sectPr w:rsidR="00BD69A8">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AFD6" w14:textId="77777777" w:rsidR="00000000" w:rsidRDefault="00BD4AE1">
      <w:r>
        <w:separator/>
      </w:r>
    </w:p>
  </w:endnote>
  <w:endnote w:type="continuationSeparator" w:id="0">
    <w:p w14:paraId="2C507295" w14:textId="77777777" w:rsidR="00000000" w:rsidRDefault="00BD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87D9" w14:textId="77777777" w:rsidR="00B64054" w:rsidRDefault="00BD4AE1">
    <w:pPr>
      <w:pStyle w:val="Footer"/>
      <w:jc w:val="center"/>
    </w:pPr>
    <w:r>
      <w:fldChar w:fldCharType="begin"/>
    </w:r>
    <w:r>
      <w:instrText xml:space="preserve"> PAGE </w:instrText>
    </w:r>
    <w:r>
      <w:fldChar w:fldCharType="separate"/>
    </w:r>
    <w:r>
      <w:t>2</w:t>
    </w:r>
    <w:r>
      <w:fldChar w:fldCharType="end"/>
    </w:r>
  </w:p>
  <w:p w14:paraId="0BF492BC" w14:textId="77777777" w:rsidR="00B64054" w:rsidRDefault="00BD4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3006" w14:textId="77777777" w:rsidR="00000000" w:rsidRDefault="00BD4AE1">
      <w:r>
        <w:rPr>
          <w:color w:val="000000"/>
        </w:rPr>
        <w:separator/>
      </w:r>
    </w:p>
  </w:footnote>
  <w:footnote w:type="continuationSeparator" w:id="0">
    <w:p w14:paraId="2FABB5ED" w14:textId="77777777" w:rsidR="00000000" w:rsidRDefault="00BD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340C" w14:textId="77777777" w:rsidR="00B64054" w:rsidRDefault="00BD4AE1">
    <w:pPr>
      <w:pStyle w:val="Header"/>
    </w:pPr>
    <w:r>
      <w:rPr>
        <w:rFonts w:ascii="Arial" w:hAnsi="Arial" w:cs="Arial"/>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263"/>
    <w:multiLevelType w:val="multilevel"/>
    <w:tmpl w:val="05805A16"/>
    <w:lvl w:ilvl="0">
      <w:numFmt w:val="bullet"/>
      <w:lvlText w:val=""/>
      <w:lvlJc w:val="left"/>
      <w:pPr>
        <w:ind w:left="720" w:hanging="360"/>
      </w:pPr>
      <w:rPr>
        <w:rFonts w:ascii="Symbol" w:hAnsi="Symbol"/>
      </w:rPr>
    </w:lvl>
    <w:lvl w:ilvl="1">
      <w:numFmt w:val="bullet"/>
      <w:lvlText w:val="•"/>
      <w:lvlJc w:val="left"/>
      <w:pPr>
        <w:ind w:left="1800" w:hanging="720"/>
      </w:pPr>
      <w:rPr>
        <w:rFonts w:ascii="Arial" w:eastAsia="Calibri"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591FB2"/>
    <w:multiLevelType w:val="multilevel"/>
    <w:tmpl w:val="37F40F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505F94"/>
    <w:multiLevelType w:val="multilevel"/>
    <w:tmpl w:val="01A67D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B723314"/>
    <w:multiLevelType w:val="multilevel"/>
    <w:tmpl w:val="95E64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FEF66B7"/>
    <w:multiLevelType w:val="multilevel"/>
    <w:tmpl w:val="78FA7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0873EB7"/>
    <w:multiLevelType w:val="multilevel"/>
    <w:tmpl w:val="7DE88D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D69A8"/>
    <w:rsid w:val="00BD4AE1"/>
    <w:rsid w:val="00BD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C1E9C"/>
  <w15:docId w15:val="{EA3709A1-C77A-47E8-9F19-907164D4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color w:val="002060"/>
        <w:sz w:val="24"/>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libri" w:hAnsi="Calibri" w:cs="Calibri"/>
      <w:color w:val="auto"/>
      <w:sz w:val="22"/>
    </w:rPr>
  </w:style>
  <w:style w:type="paragraph" w:styleId="Heading1">
    <w:name w:val="heading 1"/>
    <w:basedOn w:val="Normal"/>
    <w:next w:val="Normal"/>
    <w:uiPriority w:val="9"/>
    <w:qFormat/>
    <w:pPr>
      <w:keepNext/>
      <w:keepLines/>
      <w:spacing w:before="120" w:after="120"/>
      <w:jc w:val="both"/>
      <w:outlineLvl w:val="0"/>
    </w:pPr>
    <w:rPr>
      <w:rFonts w:ascii="Arial" w:eastAsia="Times New Roman" w:hAnsi="Arial" w:cs="Arial"/>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color w:val="auto"/>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color w:val="auto"/>
      <w:sz w:val="20"/>
      <w:szCs w:val="20"/>
    </w:rPr>
  </w:style>
  <w:style w:type="paragraph" w:styleId="ListParagraph">
    <w:name w:val="List Paragraph"/>
    <w:basedOn w:val="Normal"/>
    <w:pPr>
      <w:suppressAutoHyphens w:val="0"/>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color w:val="auto"/>
      <w:sz w:val="22"/>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color w:val="auto"/>
      <w:sz w:val="22"/>
    </w:rPr>
  </w:style>
  <w:style w:type="character" w:customStyle="1" w:styleId="ListParagraphChar">
    <w:name w:val="List Paragraph Char"/>
    <w:rPr>
      <w:rFonts w:ascii="Calibri" w:hAnsi="Calibri" w:cs="Calibri"/>
      <w:color w:val="auto"/>
      <w:sz w:val="22"/>
    </w:rPr>
  </w:style>
  <w:style w:type="paragraph" w:customStyle="1" w:styleId="ReportBody">
    <w:name w:val="Report Body"/>
    <w:basedOn w:val="Normal"/>
    <w:pPr>
      <w:spacing w:before="120" w:after="60"/>
      <w:jc w:val="both"/>
    </w:pPr>
    <w:rPr>
      <w:rFonts w:ascii="Arial" w:hAnsi="Arial" w:cs="Arial"/>
    </w:rPr>
  </w:style>
  <w:style w:type="character" w:customStyle="1" w:styleId="Heading1Char">
    <w:name w:val="Heading 1 Char"/>
    <w:basedOn w:val="DefaultParagraphFont"/>
    <w:rPr>
      <w:rFonts w:eastAsia="Times New Roman" w:cs="Arial"/>
      <w:b/>
      <w:bCs/>
      <w:color w:val="2F549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4</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C2 Accountability Report - VCOP - June 2022</dc:title>
  <dc:subject>
  </dc:subject>
  <dc:creator>Chantelle Dawson</dc:creator>
  <dc:description>
  </dc:description>
  <cp:lastModifiedBy>Ryan Hodson</cp:lastModifiedBy>
  <cp:revision>2</cp:revision>
  <dcterms:created xsi:type="dcterms:W3CDTF">2022-09-05T07:11:00Z</dcterms:created>
  <dcterms:modified xsi:type="dcterms:W3CDTF">2022-09-05T07:12:20Z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2022-02-25T11:28:14Z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81fa741d-7e53-4a81-933f-28feff5c7924</vt:lpwstr>
  </property>
  <property fmtid="{D5CDD505-2E9C-101B-9397-08002B2CF9AE}" pid="8" name="MSIP_Label_0c9a534a-49dd-43c4-b4e5-f206b4dbf0e4_ContentBits">
    <vt:lpwstr>0</vt:lpwstr>
  </property>
</Properties>
</file>