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0ED" w:rsidRDefault="00685149" w14:paraId="4A32CC1A" w14:textId="77777777">
      <w:pPr>
        <w:rPr>
          <w:rFonts w:ascii="Arial" w:hAnsi="Arial" w:cs="Arial"/>
          <w:b/>
          <w:bCs/>
        </w:rPr>
      </w:pPr>
      <w:r>
        <w:rPr>
          <w:rFonts w:ascii="Arial" w:hAnsi="Arial" w:cs="Arial"/>
          <w:b/>
          <w:bCs/>
        </w:rPr>
        <w:t>Thematic Reports: SUPPORT:</w:t>
      </w:r>
    </w:p>
    <w:p w:rsidR="009E10ED" w:rsidRDefault="009E10ED" w14:paraId="19CCDB5D" w14:textId="77777777">
      <w:pPr>
        <w:rPr>
          <w:rFonts w:ascii="Arial" w:hAnsi="Arial" w:cs="Arial"/>
          <w:b/>
          <w:bCs/>
        </w:rPr>
      </w:pPr>
    </w:p>
    <w:p w:rsidR="009E10ED" w:rsidRDefault="00685149" w14:paraId="6308310F" w14:textId="77777777">
      <w:pPr>
        <w:rPr>
          <w:rFonts w:ascii="Arial" w:hAnsi="Arial" w:cs="Arial"/>
          <w:b/>
          <w:bCs/>
        </w:rPr>
      </w:pPr>
      <w:r>
        <w:rPr>
          <w:rFonts w:ascii="Arial" w:hAnsi="Arial" w:cs="Arial"/>
          <w:b/>
          <w:bCs/>
        </w:rPr>
        <w:t xml:space="preserve">C1: Improving Outcomes for Victims of Crime and ASB – Hate Crime </w:t>
      </w:r>
    </w:p>
    <w:p w:rsidR="009E10ED" w:rsidRDefault="009E10ED" w14:paraId="4C4F0815" w14:textId="77777777">
      <w:pPr>
        <w:rPr>
          <w:rFonts w:ascii="Arial" w:hAnsi="Arial" w:cs="Arial"/>
        </w:rPr>
      </w:pPr>
    </w:p>
    <w:tbl>
      <w:tblPr>
        <w:tblW w:w="9209" w:type="dxa"/>
        <w:tblCellMar>
          <w:left w:w="10" w:type="dxa"/>
          <w:right w:w="10" w:type="dxa"/>
        </w:tblCellMar>
        <w:tblLook w:val="0000" w:firstRow="0" w:lastRow="0" w:firstColumn="0" w:lastColumn="0" w:noHBand="0" w:noVBand="0"/>
      </w:tblPr>
      <w:tblGrid>
        <w:gridCol w:w="13900"/>
      </w:tblGrid>
      <w:tr w:rsidR="009E10ED" w14:paraId="37018288" w14:textId="77777777">
        <w:tblPrEx>
          <w:tblCellMar>
            <w:top w:w="0" w:type="dxa"/>
            <w:bottom w:w="0" w:type="dxa"/>
          </w:tblCellMar>
        </w:tblPrEx>
        <w:tc>
          <w:tcPr>
            <w:tcW w:w="13900"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009E10ED" w:rsidRDefault="009E10ED" w14:paraId="0EF5DC3B" w14:textId="77777777">
            <w:pPr>
              <w:rPr>
                <w:rFonts w:ascii="Arial" w:hAnsi="Arial" w:cs="Arial"/>
                <w:b/>
                <w:bCs/>
              </w:rPr>
            </w:pPr>
          </w:p>
          <w:p w:rsidR="009E10ED" w:rsidRDefault="00685149" w14:paraId="090E8BAB" w14:textId="77777777">
            <w:pPr>
              <w:rPr>
                <w:rFonts w:ascii="Arial" w:hAnsi="Arial" w:cs="Arial"/>
                <w:b/>
                <w:bCs/>
              </w:rPr>
            </w:pPr>
            <w:r>
              <w:rPr>
                <w:rFonts w:ascii="Arial" w:hAnsi="Arial" w:cs="Arial"/>
                <w:b/>
                <w:bCs/>
              </w:rPr>
              <w:t xml:space="preserve">HATE CRIME </w:t>
            </w:r>
          </w:p>
          <w:p w:rsidR="009E10ED" w:rsidRDefault="009E10ED" w14:paraId="0E10D67F" w14:textId="77777777">
            <w:pPr>
              <w:rPr>
                <w:rFonts w:ascii="Arial" w:hAnsi="Arial" w:cs="Arial"/>
              </w:rPr>
            </w:pPr>
          </w:p>
        </w:tc>
      </w:tr>
      <w:tr w:rsidR="009E10ED" w14:paraId="0877F4F5" w14:textId="77777777">
        <w:tblPrEx>
          <w:tblCellMar>
            <w:top w:w="0" w:type="dxa"/>
            <w:bottom w:w="0" w:type="dxa"/>
          </w:tblCellMar>
        </w:tblPrEx>
        <w:trPr>
          <w:trHeight w:val="2825"/>
        </w:trPr>
        <w:tc>
          <w:tcPr>
            <w:tcW w:w="13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E10ED" w:rsidRDefault="00685149" w14:paraId="4FF95E51" w14:textId="77777777">
            <w:pPr>
              <w:jc w:val="both"/>
              <w:rPr>
                <w:rFonts w:ascii="Arial" w:hAnsi="Arial" w:cs="Arial"/>
              </w:rPr>
            </w:pPr>
            <w:r>
              <w:rPr>
                <w:rFonts w:ascii="Arial" w:hAnsi="Arial" w:cs="Arial"/>
              </w:rPr>
              <w:t xml:space="preserve">Victims of Hate Crime in Nottinghamshire receive an enhanced service. Divisional hate crime Inspectors carry out early </w:t>
            </w:r>
            <w:r>
              <w:rPr>
                <w:rFonts w:ascii="Arial" w:hAnsi="Arial" w:cs="Arial"/>
              </w:rPr>
              <w:t xml:space="preserve">reviews of all hate crime cases to provide oversight and ensure appropriate progression for each case. Our dedicated hate crime team audit all </w:t>
            </w:r>
            <w:proofErr w:type="gramStart"/>
            <w:r>
              <w:rPr>
                <w:rFonts w:ascii="Arial" w:hAnsi="Arial" w:cs="Arial"/>
              </w:rPr>
              <w:t>hate</w:t>
            </w:r>
            <w:proofErr w:type="gramEnd"/>
            <w:r>
              <w:rPr>
                <w:rFonts w:ascii="Arial" w:hAnsi="Arial" w:cs="Arial"/>
              </w:rPr>
              <w:t xml:space="preserve"> crimes and non-crimes and carry out welfare calls to victims between 10 and 20 days following the incident. </w:t>
            </w:r>
            <w:r>
              <w:rPr>
                <w:rFonts w:ascii="Arial" w:hAnsi="Arial" w:cs="Arial"/>
              </w:rPr>
              <w:t>The hate crime team liaise with the Officer in the Case should there be any queries or concerns from the victim and further support and signposting to services is completed. The Research and Insight team also contact victims of hate after 2 months followin</w:t>
            </w:r>
            <w:r>
              <w:rPr>
                <w:rFonts w:ascii="Arial" w:hAnsi="Arial" w:cs="Arial"/>
              </w:rPr>
              <w:t xml:space="preserve">g report for a more in-depth satisfaction survey. In our most recent survey in February 2022 victim satisfaction for the whole experience of hate crime was 80.8%. </w:t>
            </w:r>
          </w:p>
          <w:p w:rsidR="009E10ED" w:rsidRDefault="009E10ED" w14:paraId="2CA42B22" w14:textId="77777777">
            <w:pPr>
              <w:jc w:val="both"/>
              <w:rPr>
                <w:rFonts w:ascii="Arial" w:hAnsi="Arial" w:cs="Arial"/>
              </w:rPr>
            </w:pPr>
          </w:p>
          <w:p w:rsidR="009E10ED" w:rsidRDefault="00685149" w14:paraId="31178BCC" w14:textId="77777777">
            <w:pPr>
              <w:jc w:val="both"/>
              <w:rPr>
                <w:rFonts w:ascii="Arial" w:hAnsi="Arial" w:cs="Arial"/>
              </w:rPr>
            </w:pPr>
            <w:r>
              <w:rPr>
                <w:rFonts w:ascii="Arial" w:hAnsi="Arial" w:cs="Arial"/>
              </w:rPr>
              <w:t>The hate crime team also attend community engagement events supporting different strands of</w:t>
            </w:r>
            <w:r>
              <w:rPr>
                <w:rFonts w:ascii="Arial" w:hAnsi="Arial" w:cs="Arial"/>
              </w:rPr>
              <w:t xml:space="preserve"> hate crime and work in partnership with numerous private, public and third sector organisations, focussing on encouraging reporting and training for staff. </w:t>
            </w:r>
          </w:p>
          <w:p w:rsidR="009E10ED" w:rsidRDefault="009E10ED" w14:paraId="6F5ADFC8" w14:textId="77777777">
            <w:pPr>
              <w:jc w:val="both"/>
              <w:rPr>
                <w:rFonts w:ascii="Arial" w:hAnsi="Arial" w:cs="Arial"/>
              </w:rPr>
            </w:pPr>
          </w:p>
          <w:p w:rsidR="009E10ED" w:rsidRDefault="00685149" w14:paraId="0C47F139" w14:textId="77777777">
            <w:pPr>
              <w:jc w:val="both"/>
              <w:rPr>
                <w:rFonts w:ascii="Arial" w:hAnsi="Arial" w:cs="Arial"/>
              </w:rPr>
            </w:pPr>
            <w:r>
              <w:rPr>
                <w:rFonts w:ascii="Arial" w:hAnsi="Arial" w:cs="Arial"/>
              </w:rPr>
              <w:t>The figures below illustrate that hate has increased to higher levels than before the pandemic. R</w:t>
            </w:r>
            <w:r>
              <w:rPr>
                <w:rFonts w:ascii="Arial" w:hAnsi="Arial" w:cs="Arial"/>
              </w:rPr>
              <w:t>ecorded hate crimes have increased every month over the previous 6 months when compared to the same months in 2018-19. Recorded hate non-crimes have decreased overall, however increased in May 2022. All strands of hate have increased, other than religion/f</w:t>
            </w:r>
            <w:r>
              <w:rPr>
                <w:rFonts w:ascii="Arial" w:hAnsi="Arial" w:cs="Arial"/>
              </w:rPr>
              <w:t xml:space="preserve">aith and misogyny, which have reduced. </w:t>
            </w:r>
          </w:p>
          <w:p w:rsidR="009E10ED" w:rsidRDefault="009E10ED" w14:paraId="3EFDCB09" w14:textId="77777777">
            <w:pPr>
              <w:jc w:val="both"/>
              <w:rPr>
                <w:rFonts w:ascii="Arial" w:hAnsi="Arial" w:cs="Arial"/>
              </w:rPr>
            </w:pPr>
          </w:p>
          <w:p w:rsidR="009E10ED" w:rsidRDefault="00685149" w14:paraId="2962DC02" w14:textId="77777777">
            <w:pPr>
              <w:jc w:val="both"/>
              <w:rPr>
                <w:rFonts w:ascii="Arial" w:hAnsi="Arial" w:cs="Arial"/>
              </w:rPr>
            </w:pPr>
            <w:r>
              <w:rPr>
                <w:rFonts w:ascii="Arial" w:hAnsi="Arial" w:cs="Arial"/>
              </w:rPr>
              <w:t>While it is a long-term aspiration to reduce hate crime, the short to medium term aspiration is to increase reporting, reflecting improved knowledge of hate and reporting mechanisms within our communities and increa</w:t>
            </w:r>
            <w:r>
              <w:rPr>
                <w:rFonts w:ascii="Arial" w:hAnsi="Arial" w:cs="Arial"/>
              </w:rPr>
              <w:t xml:space="preserve">sed trust and confidence in Nottinghamshire Police. </w:t>
            </w:r>
          </w:p>
          <w:p w:rsidR="009E10ED" w:rsidRDefault="00685149" w14:paraId="509EF3FF" w14:textId="77777777">
            <w:pPr>
              <w:jc w:val="both"/>
            </w:pPr>
            <w:r>
              <w:rPr>
                <w:rFonts w:ascii="Arial" w:hAnsi="Arial" w:cs="Arial"/>
              </w:rPr>
              <w:br/>
            </w:r>
            <w:r>
              <w:rPr>
                <w:noProof/>
              </w:rPr>
              <w:drawing>
                <wp:inline distT="0" distB="0" distL="0" distR="0" wp14:anchorId="534C8880" wp14:editId="3A1D6BD8">
                  <wp:extent cx="8689652" cy="172097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689652" cy="1720973"/>
                          </a:xfrm>
                          <a:prstGeom prst="rect">
                            <a:avLst/>
                          </a:prstGeom>
                          <a:noFill/>
                          <a:ln>
                            <a:noFill/>
                            <a:prstDash/>
                          </a:ln>
                        </pic:spPr>
                      </pic:pic>
                    </a:graphicData>
                  </a:graphic>
                </wp:inline>
              </w:drawing>
            </w:r>
          </w:p>
          <w:p w:rsidR="009E10ED" w:rsidRDefault="00685149" w14:paraId="7D034B1C" w14:textId="77777777">
            <w:pPr>
              <w:jc w:val="both"/>
            </w:pPr>
            <w:r>
              <w:rPr>
                <w:rFonts w:ascii="Arial" w:hAnsi="Arial" w:cs="Arial"/>
                <w:sz w:val="18"/>
                <w:szCs w:val="18"/>
              </w:rPr>
              <w:t>The above figures are taken from Crime &amp; Outcomes; sourced from Niche via Business Objects. Crime Groups are as per the Home Office Crime Tree.</w:t>
            </w:r>
          </w:p>
          <w:p w:rsidR="009E10ED" w:rsidRDefault="009E10ED" w14:paraId="02656A56" w14:textId="77777777">
            <w:pPr>
              <w:jc w:val="both"/>
              <w:rPr>
                <w:rFonts w:ascii="Arial" w:hAnsi="Arial" w:cs="Arial"/>
              </w:rPr>
            </w:pPr>
          </w:p>
          <w:p w:rsidR="009E10ED" w:rsidRDefault="00685149" w14:paraId="07AD0DC8" w14:textId="77777777">
            <w:pPr>
              <w:jc w:val="both"/>
              <w:rPr>
                <w:rFonts w:ascii="Arial" w:hAnsi="Arial" w:cs="Arial"/>
              </w:rPr>
            </w:pPr>
            <w:r>
              <w:rPr>
                <w:rFonts w:ascii="Arial" w:hAnsi="Arial" w:cs="Arial"/>
              </w:rPr>
              <w:t>Positive outcomes have increased in recent months, comp</w:t>
            </w:r>
            <w:r>
              <w:rPr>
                <w:rFonts w:ascii="Arial" w:hAnsi="Arial" w:cs="Arial"/>
              </w:rPr>
              <w:t>ared to the same period prior to the pandemic. May 2022 is the anomaly to this however, which saw a reduction in positive outcomes for hate crime when compared to May 2019 and when compared to previous months in 2022. The Out of Court disposal team now reg</w:t>
            </w:r>
            <w:r>
              <w:rPr>
                <w:rFonts w:ascii="Arial" w:hAnsi="Arial" w:cs="Arial"/>
              </w:rPr>
              <w:t>ularly interact with the hate crime leadership team and partake in hate crime performance meetings with the objective of improving positive outcome rates for hate crime. There are many occasions in which a positive outcome could be achieved, for example co</w:t>
            </w:r>
            <w:r>
              <w:rPr>
                <w:rFonts w:ascii="Arial" w:hAnsi="Arial" w:cs="Arial"/>
              </w:rPr>
              <w:t xml:space="preserve">mmunity resolutions or cautions, when there may not the evidence to progress to a criminal prosecution. </w:t>
            </w:r>
          </w:p>
          <w:p w:rsidR="009E10ED" w:rsidRDefault="009E10ED" w14:paraId="14F66F67" w14:textId="77777777">
            <w:pPr>
              <w:jc w:val="both"/>
              <w:rPr>
                <w:rFonts w:ascii="Arial" w:hAnsi="Arial" w:cs="Arial"/>
              </w:rPr>
            </w:pPr>
          </w:p>
          <w:p w:rsidR="009E10ED" w:rsidRDefault="00685149" w14:paraId="4D1C804D" w14:textId="77777777">
            <w:pPr>
              <w:jc w:val="both"/>
            </w:pPr>
            <w:r>
              <w:rPr>
                <w:noProof/>
              </w:rPr>
              <w:drawing>
                <wp:inline distT="0" distB="0" distL="0" distR="0" wp14:anchorId="15BF130A" wp14:editId="5E4A2ABE">
                  <wp:extent cx="8686223" cy="1440710"/>
                  <wp:effectExtent l="0" t="0" r="577" b="7090"/>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86223" cy="1440710"/>
                          </a:xfrm>
                          <a:prstGeom prst="rect">
                            <a:avLst/>
                          </a:prstGeom>
                          <a:noFill/>
                          <a:ln>
                            <a:noFill/>
                            <a:prstDash/>
                          </a:ln>
                        </pic:spPr>
                      </pic:pic>
                    </a:graphicData>
                  </a:graphic>
                </wp:inline>
              </w:drawing>
            </w:r>
          </w:p>
          <w:p w:rsidR="009E10ED" w:rsidRDefault="00685149" w14:paraId="5972D5E9" w14:textId="77777777">
            <w:pPr>
              <w:jc w:val="both"/>
              <w:rPr>
                <w:rFonts w:ascii="Arial" w:hAnsi="Arial" w:cs="Arial"/>
                <w:sz w:val="18"/>
                <w:szCs w:val="18"/>
              </w:rPr>
            </w:pPr>
            <w:r>
              <w:rPr>
                <w:rFonts w:ascii="Arial" w:hAnsi="Arial" w:cs="Arial"/>
                <w:sz w:val="18"/>
                <w:szCs w:val="18"/>
              </w:rPr>
              <w:t>The above figures are taken from Crime &amp; Outcomes; sourced from Niche via Business Objects. Positive Outcomes are Rated by Class of Offence and incl</w:t>
            </w:r>
            <w:r>
              <w:rPr>
                <w:rFonts w:ascii="Arial" w:hAnsi="Arial" w:cs="Arial"/>
                <w:sz w:val="18"/>
                <w:szCs w:val="18"/>
              </w:rPr>
              <w:t>ude: 01 Charge/Summons; 02 Caution-Youth; 03 Caution-Adult; 04 TIC; 06 Penalty Notices for Disorder; 07 Cannabis Warning; 08 Community Resolution.</w:t>
            </w:r>
          </w:p>
          <w:p w:rsidR="009E10ED" w:rsidRDefault="009E10ED" w14:paraId="25853C30" w14:textId="77777777">
            <w:pPr>
              <w:jc w:val="both"/>
              <w:rPr>
                <w:rFonts w:ascii="Arial" w:hAnsi="Arial" w:cs="Arial"/>
              </w:rPr>
            </w:pPr>
          </w:p>
          <w:p w:rsidR="009E10ED" w:rsidRDefault="00685149" w14:paraId="0362D089" w14:textId="77777777">
            <w:pPr>
              <w:jc w:val="both"/>
              <w:rPr>
                <w:rFonts w:ascii="Arial" w:hAnsi="Arial" w:cs="Arial"/>
              </w:rPr>
            </w:pPr>
            <w:r>
              <w:rPr>
                <w:rFonts w:ascii="Arial" w:hAnsi="Arial" w:cs="Arial"/>
              </w:rPr>
              <w:t>Charging rates for hate crime vary greatly, with different strands of hate swinging drastically due to relat</w:t>
            </w:r>
            <w:r>
              <w:rPr>
                <w:rFonts w:ascii="Arial" w:hAnsi="Arial" w:cs="Arial"/>
              </w:rPr>
              <w:t>ively low numbers for each. In the last 6 months the lowest charge rate was in May 2022 with 63.6% and the highest was April 2022 with 80.6%. Charge rates for misogyny are an anomaly as this is not a national strand, but a local strand of hate and therefor</w:t>
            </w:r>
            <w:r>
              <w:rPr>
                <w:rFonts w:ascii="Arial" w:hAnsi="Arial" w:cs="Arial"/>
              </w:rPr>
              <w:t xml:space="preserve">e will not be charged on its own. Where charges exist for </w:t>
            </w:r>
            <w:proofErr w:type="gramStart"/>
            <w:r>
              <w:rPr>
                <w:rFonts w:ascii="Arial" w:hAnsi="Arial" w:cs="Arial"/>
              </w:rPr>
              <w:t>misogyny</w:t>
            </w:r>
            <w:proofErr w:type="gramEnd"/>
            <w:r>
              <w:rPr>
                <w:rFonts w:ascii="Arial" w:hAnsi="Arial" w:cs="Arial"/>
              </w:rPr>
              <w:t xml:space="preserve"> the case was charged as an alternative offence, with misogyny hate crime also being an element of the case. It is important to note that our current policy does not ask officers to include </w:t>
            </w:r>
            <w:r>
              <w:rPr>
                <w:rFonts w:ascii="Arial" w:hAnsi="Arial" w:cs="Arial"/>
              </w:rPr>
              <w:t xml:space="preserve">misogyny hate in cases such as domestic abuse and sexual crimes against women.  </w:t>
            </w:r>
          </w:p>
          <w:p w:rsidR="009E10ED" w:rsidRDefault="009E10ED" w14:paraId="00E6DC1C" w14:textId="77777777">
            <w:pPr>
              <w:jc w:val="both"/>
              <w:rPr>
                <w:rFonts w:ascii="Arial" w:hAnsi="Arial" w:cs="Arial"/>
              </w:rPr>
            </w:pPr>
          </w:p>
          <w:p w:rsidR="009E10ED" w:rsidRDefault="00685149" w14:paraId="3396C476" w14:textId="77777777">
            <w:pPr>
              <w:jc w:val="both"/>
            </w:pPr>
            <w:r>
              <w:rPr>
                <w:noProof/>
              </w:rPr>
              <w:drawing>
                <wp:inline distT="0" distB="0" distL="0" distR="0" wp14:anchorId="5E569922" wp14:editId="3B3D8C96">
                  <wp:extent cx="8630061" cy="1486338"/>
                  <wp:effectExtent l="0" t="0" r="0" b="0"/>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30061" cy="1486338"/>
                          </a:xfrm>
                          <a:prstGeom prst="rect">
                            <a:avLst/>
                          </a:prstGeom>
                          <a:noFill/>
                          <a:ln>
                            <a:noFill/>
                            <a:prstDash/>
                          </a:ln>
                        </pic:spPr>
                      </pic:pic>
                    </a:graphicData>
                  </a:graphic>
                </wp:inline>
              </w:drawing>
            </w:r>
          </w:p>
          <w:p w:rsidR="009E10ED" w:rsidRDefault="00685149" w14:paraId="39FBB5BD" w14:textId="77777777">
            <w:pPr>
              <w:jc w:val="both"/>
              <w:rPr>
                <w:rFonts w:ascii="Arial" w:hAnsi="Arial" w:cs="Arial"/>
                <w:sz w:val="18"/>
                <w:szCs w:val="18"/>
              </w:rPr>
            </w:pPr>
            <w:r>
              <w:rPr>
                <w:rFonts w:ascii="Arial" w:hAnsi="Arial" w:cs="Arial"/>
                <w:sz w:val="18"/>
                <w:szCs w:val="18"/>
              </w:rPr>
              <w:t>The above Hate Crime figures are taken from Crime &amp; Outcomes; showing 01 Charge/Summons outcome as a proportion of all positive outcomes for Hate Crime and sub-categories.</w:t>
            </w:r>
          </w:p>
        </w:tc>
      </w:tr>
      <w:tr w:rsidR="009E10ED" w14:paraId="31DD404C" w14:textId="77777777">
        <w:tblPrEx>
          <w:tblCellMar>
            <w:top w:w="0" w:type="dxa"/>
            <w:bottom w:w="0" w:type="dxa"/>
          </w:tblCellMar>
        </w:tblPrEx>
        <w:trPr>
          <w:trHeight w:val="841"/>
        </w:trPr>
        <w:tc>
          <w:tcPr>
            <w:tcW w:w="13900" w:type="dxa"/>
            <w:tcBorders>
              <w:top w:val="single" w:color="000000" w:sz="4" w:space="0"/>
              <w:left w:val="single" w:color="000000" w:sz="4" w:space="0"/>
              <w:bottom w:val="single" w:color="000000" w:sz="4" w:space="0"/>
              <w:right w:val="single" w:color="000000" w:sz="4" w:space="0"/>
            </w:tcBorders>
            <w:shd w:val="clear" w:color="auto" w:fill="E2EFD9"/>
            <w:tcMar>
              <w:top w:w="0" w:type="dxa"/>
              <w:left w:w="108" w:type="dxa"/>
              <w:bottom w:w="0" w:type="dxa"/>
              <w:right w:w="108" w:type="dxa"/>
            </w:tcMar>
          </w:tcPr>
          <w:p w:rsidR="009E10ED" w:rsidRDefault="009E10ED" w14:paraId="7CFD1C57" w14:textId="77777777">
            <w:pPr>
              <w:jc w:val="both"/>
              <w:rPr>
                <w:rFonts w:ascii="Arial" w:hAnsi="Arial" w:cs="Arial"/>
              </w:rPr>
            </w:pPr>
          </w:p>
          <w:p w:rsidR="009E10ED" w:rsidRDefault="00685149" w14:paraId="15351E6F" w14:textId="77777777">
            <w:pPr>
              <w:jc w:val="both"/>
              <w:rPr>
                <w:rFonts w:ascii="Arial" w:hAnsi="Arial" w:cs="Arial"/>
                <w:b/>
                <w:bCs/>
              </w:rPr>
            </w:pPr>
            <w:r>
              <w:rPr>
                <w:rFonts w:ascii="Arial" w:hAnsi="Arial" w:cs="Arial"/>
                <w:b/>
                <w:bCs/>
              </w:rPr>
              <w:t>Detections and Charge Rates</w:t>
            </w:r>
          </w:p>
        </w:tc>
      </w:tr>
      <w:tr w:rsidR="009E10ED" w14:paraId="4E671D61" w14:textId="77777777">
        <w:tblPrEx>
          <w:tblCellMar>
            <w:top w:w="0" w:type="dxa"/>
            <w:bottom w:w="0" w:type="dxa"/>
          </w:tblCellMar>
        </w:tblPrEx>
        <w:trPr>
          <w:trHeight w:val="841"/>
        </w:trPr>
        <w:tc>
          <w:tcPr>
            <w:tcW w:w="13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E10ED" w:rsidRDefault="00685149" w14:paraId="0FF87163" w14:textId="77777777">
            <w:r>
              <w:rPr>
                <w:rFonts w:ascii="Arial" w:hAnsi="Arial" w:cs="Arial"/>
              </w:rPr>
              <w:t>Provided below is the outcome data up to 27</w:t>
            </w:r>
            <w:r>
              <w:rPr>
                <w:rFonts w:ascii="Arial" w:hAnsi="Arial" w:cs="Arial"/>
                <w:vertAlign w:val="superscript"/>
              </w:rPr>
              <w:t>th</w:t>
            </w:r>
            <w:r>
              <w:rPr>
                <w:rFonts w:ascii="Arial" w:hAnsi="Arial" w:cs="Arial"/>
              </w:rPr>
              <w:t xml:space="preserve"> June 2022. </w:t>
            </w:r>
          </w:p>
          <w:p w:rsidR="009E10ED" w:rsidRDefault="009E10ED" w14:paraId="4922AB45" w14:textId="77777777">
            <w:pPr>
              <w:rPr>
                <w:rFonts w:ascii="Arial" w:hAnsi="Arial" w:cs="Arial"/>
              </w:rPr>
            </w:pPr>
          </w:p>
          <w:p w:rsidR="009E10ED" w:rsidRDefault="00685149" w14:paraId="52115AC5" w14:textId="77777777">
            <w:pPr>
              <w:rPr>
                <w:rFonts w:ascii="Arial" w:hAnsi="Arial" w:cs="Arial"/>
                <w:b/>
                <w:bCs/>
                <w:u w:val="single"/>
              </w:rPr>
            </w:pPr>
            <w:r>
              <w:rPr>
                <w:rFonts w:ascii="Arial" w:hAnsi="Arial" w:cs="Arial"/>
                <w:b/>
                <w:bCs/>
                <w:u w:val="single"/>
              </w:rPr>
              <w:t xml:space="preserve">The following are </w:t>
            </w:r>
            <w:proofErr w:type="gramStart"/>
            <w:r>
              <w:rPr>
                <w:rFonts w:ascii="Arial" w:hAnsi="Arial" w:cs="Arial"/>
                <w:b/>
                <w:bCs/>
                <w:u w:val="single"/>
              </w:rPr>
              <w:t>a number of</w:t>
            </w:r>
            <w:proofErr w:type="gramEnd"/>
            <w:r>
              <w:rPr>
                <w:rFonts w:ascii="Arial" w:hAnsi="Arial" w:cs="Arial"/>
                <w:b/>
                <w:bCs/>
                <w:u w:val="single"/>
              </w:rPr>
              <w:t xml:space="preserve"> highlights/headlines:</w:t>
            </w:r>
          </w:p>
          <w:p w:rsidR="009E10ED" w:rsidRDefault="009E10ED" w14:paraId="7ED41633" w14:textId="77777777">
            <w:pPr>
              <w:rPr>
                <w:rFonts w:ascii="Arial" w:hAnsi="Arial" w:cs="Arial"/>
              </w:rPr>
            </w:pPr>
          </w:p>
          <w:p w:rsidR="009E10ED" w:rsidRDefault="00685149" w14:paraId="29648C2E" w14:textId="77777777">
            <w:pPr>
              <w:pStyle w:val="ListParagraph"/>
              <w:numPr>
                <w:ilvl w:val="0"/>
                <w:numId w:val="1"/>
              </w:numPr>
              <w:rPr>
                <w:rFonts w:ascii="Arial" w:hAnsi="Arial" w:cs="Arial"/>
              </w:rPr>
            </w:pPr>
            <w:r>
              <w:rPr>
                <w:rFonts w:ascii="Arial" w:hAnsi="Arial" w:cs="Arial"/>
              </w:rPr>
              <w:t xml:space="preserve">Outcome performance has not yet recovered to the pre-pandemic levels – although the trajectory of </w:t>
            </w:r>
            <w:r>
              <w:rPr>
                <w:rFonts w:ascii="Arial" w:hAnsi="Arial" w:cs="Arial"/>
              </w:rPr>
              <w:t>recovery continues.</w:t>
            </w:r>
          </w:p>
          <w:p w:rsidR="009E10ED" w:rsidRDefault="00685149" w14:paraId="116278AF" w14:textId="77777777">
            <w:pPr>
              <w:pStyle w:val="ListParagraph"/>
              <w:numPr>
                <w:ilvl w:val="0"/>
                <w:numId w:val="1"/>
              </w:numPr>
              <w:rPr>
                <w:rFonts w:ascii="Arial" w:hAnsi="Arial" w:cs="Arial"/>
              </w:rPr>
            </w:pPr>
            <w:r>
              <w:rPr>
                <w:rFonts w:ascii="Arial" w:hAnsi="Arial" w:cs="Arial"/>
              </w:rPr>
              <w:t xml:space="preserve">The data demonstrates clearly that both in terms of volume and rate, the current </w:t>
            </w:r>
            <w:proofErr w:type="spellStart"/>
            <w:r>
              <w:rPr>
                <w:rFonts w:ascii="Arial" w:hAnsi="Arial" w:cs="Arial"/>
              </w:rPr>
              <w:t>years</w:t>
            </w:r>
            <w:proofErr w:type="spellEnd"/>
            <w:r>
              <w:rPr>
                <w:rFonts w:ascii="Arial" w:hAnsi="Arial" w:cs="Arial"/>
              </w:rPr>
              <w:t xml:space="preserve"> performance is out stripping 2021/22 </w:t>
            </w:r>
            <w:proofErr w:type="spellStart"/>
            <w:r>
              <w:rPr>
                <w:rFonts w:ascii="Arial" w:hAnsi="Arial" w:cs="Arial"/>
              </w:rPr>
              <w:t>perfomance</w:t>
            </w:r>
            <w:proofErr w:type="spellEnd"/>
            <w:r>
              <w:rPr>
                <w:rFonts w:ascii="Arial" w:hAnsi="Arial" w:cs="Arial"/>
              </w:rPr>
              <w:t>.</w:t>
            </w:r>
          </w:p>
          <w:p w:rsidR="009E10ED" w:rsidRDefault="00685149" w14:paraId="09BC9F5A" w14:textId="77777777">
            <w:pPr>
              <w:pStyle w:val="ListParagraph"/>
              <w:numPr>
                <w:ilvl w:val="0"/>
                <w:numId w:val="1"/>
              </w:numPr>
              <w:rPr>
                <w:rFonts w:ascii="Arial" w:hAnsi="Arial" w:cs="Arial"/>
              </w:rPr>
            </w:pPr>
            <w:r>
              <w:rPr>
                <w:rFonts w:ascii="Arial" w:hAnsi="Arial" w:cs="Arial"/>
              </w:rPr>
              <w:t xml:space="preserve">Rape and sexual offences are seeing improved outcomes when compared to both 20/21 and the base year </w:t>
            </w:r>
            <w:r>
              <w:rPr>
                <w:rFonts w:ascii="Arial" w:hAnsi="Arial" w:cs="Arial"/>
              </w:rPr>
              <w:t>of 19/20.</w:t>
            </w:r>
          </w:p>
          <w:p w:rsidR="009E10ED" w:rsidRDefault="00685149" w14:paraId="243A0801" w14:textId="77777777">
            <w:pPr>
              <w:pStyle w:val="ListParagraph"/>
              <w:numPr>
                <w:ilvl w:val="0"/>
                <w:numId w:val="1"/>
              </w:numPr>
              <w:rPr>
                <w:rFonts w:ascii="Arial" w:hAnsi="Arial" w:cs="Arial"/>
              </w:rPr>
            </w:pPr>
            <w:r>
              <w:rPr>
                <w:rFonts w:ascii="Arial" w:hAnsi="Arial" w:cs="Arial"/>
              </w:rPr>
              <w:t xml:space="preserve">Both categories of robbery are also achieving better outcomes than each of those previous years.  </w:t>
            </w:r>
          </w:p>
          <w:p w:rsidR="009E10ED" w:rsidRDefault="00685149" w14:paraId="6151CCB4" w14:textId="77777777">
            <w:pPr>
              <w:pStyle w:val="ListParagraph"/>
              <w:numPr>
                <w:ilvl w:val="0"/>
                <w:numId w:val="1"/>
              </w:numPr>
              <w:rPr>
                <w:rFonts w:ascii="Arial" w:hAnsi="Arial" w:cs="Arial"/>
              </w:rPr>
            </w:pPr>
            <w:r>
              <w:rPr>
                <w:rFonts w:ascii="Arial" w:hAnsi="Arial" w:cs="Arial"/>
              </w:rPr>
              <w:t>A similar picture can be seen with hate.</w:t>
            </w:r>
          </w:p>
          <w:p w:rsidR="009E10ED" w:rsidRDefault="00685149" w14:paraId="1A26F407" w14:textId="77777777">
            <w:pPr>
              <w:pStyle w:val="ListParagraph"/>
              <w:numPr>
                <w:ilvl w:val="0"/>
                <w:numId w:val="1"/>
              </w:numPr>
              <w:rPr>
                <w:rFonts w:ascii="Arial" w:hAnsi="Arial" w:cs="Arial"/>
              </w:rPr>
            </w:pPr>
            <w:r>
              <w:rPr>
                <w:rFonts w:ascii="Arial" w:hAnsi="Arial" w:cs="Arial"/>
              </w:rPr>
              <w:t xml:space="preserve">Shoplifting outcomes are recovering. The volume of outcomes now far exceeds last year. However, given the </w:t>
            </w:r>
            <w:r>
              <w:rPr>
                <w:rFonts w:ascii="Arial" w:hAnsi="Arial" w:cs="Arial"/>
              </w:rPr>
              <w:t>increase in shoplifting volume the rate is still lagging slightly.</w:t>
            </w:r>
          </w:p>
          <w:p w:rsidR="009E10ED" w:rsidRDefault="009E10ED" w14:paraId="636C73D4" w14:textId="77777777">
            <w:pPr>
              <w:rPr>
                <w:rFonts w:ascii="Arial" w:hAnsi="Arial" w:cs="Arial"/>
              </w:rPr>
            </w:pPr>
          </w:p>
          <w:tbl>
            <w:tblPr>
              <w:tblW w:w="6406" w:type="dxa"/>
              <w:tblCellMar>
                <w:left w:w="10" w:type="dxa"/>
                <w:right w:w="10" w:type="dxa"/>
              </w:tblCellMar>
              <w:tblLook w:val="0000" w:firstRow="0" w:lastRow="0" w:firstColumn="0" w:lastColumn="0" w:noHBand="0" w:noVBand="0"/>
            </w:tblPr>
            <w:tblGrid>
              <w:gridCol w:w="1106"/>
              <w:gridCol w:w="1060"/>
              <w:gridCol w:w="1060"/>
              <w:gridCol w:w="1060"/>
              <w:gridCol w:w="1060"/>
              <w:gridCol w:w="1060"/>
            </w:tblGrid>
            <w:tr w:rsidR="009E10ED" w14:paraId="221D7398" w14:textId="77777777">
              <w:tblPrEx>
                <w:tblCellMar>
                  <w:top w:w="0" w:type="dxa"/>
                  <w:bottom w:w="0" w:type="dxa"/>
                </w:tblCellMar>
              </w:tblPrEx>
              <w:trPr>
                <w:trHeight w:val="510"/>
              </w:trPr>
              <w:tc>
                <w:tcPr>
                  <w:tcW w:w="1106" w:type="dxa"/>
                  <w:tcBorders>
                    <w:top w:val="single" w:color="000000" w:sz="8" w:space="0"/>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2A46A33"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To 27/6/2022</w:t>
                  </w:r>
                </w:p>
              </w:tc>
              <w:tc>
                <w:tcPr>
                  <w:tcW w:w="1060" w:type="dxa"/>
                  <w:tcBorders>
                    <w:top w:val="single" w:color="000000" w:sz="8"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9E10ED" w14:paraId="088B0CBC" w14:textId="77777777">
                  <w:pPr>
                    <w:suppressAutoHyphens w:val="0"/>
                    <w:spacing w:line="276" w:lineRule="auto"/>
                    <w:jc w:val="center"/>
                    <w:rPr>
                      <w:rFonts w:ascii="Arial" w:hAnsi="Arial" w:eastAsia="Times New Roman" w:cs="Arial"/>
                      <w:color w:val="00B050"/>
                      <w:sz w:val="20"/>
                      <w:szCs w:val="20"/>
                      <w:lang w:eastAsia="en-GB"/>
                    </w:rPr>
                  </w:pPr>
                </w:p>
              </w:tc>
              <w:tc>
                <w:tcPr>
                  <w:tcW w:w="1060"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974327B"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To 27/06/21</w:t>
                  </w:r>
                </w:p>
              </w:tc>
              <w:tc>
                <w:tcPr>
                  <w:tcW w:w="1060" w:type="dxa"/>
                  <w:tcBorders>
                    <w:top w:val="single" w:color="000000" w:sz="8"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9E10ED" w14:paraId="59C17CA3" w14:textId="77777777">
                  <w:pPr>
                    <w:suppressAutoHyphens w:val="0"/>
                    <w:spacing w:line="276" w:lineRule="auto"/>
                    <w:jc w:val="center"/>
                    <w:rPr>
                      <w:rFonts w:ascii="Arial" w:hAnsi="Arial" w:eastAsia="Times New Roman" w:cs="Arial"/>
                      <w:color w:val="002060"/>
                      <w:sz w:val="20"/>
                      <w:szCs w:val="20"/>
                      <w:lang w:eastAsia="en-GB"/>
                    </w:rPr>
                  </w:pPr>
                </w:p>
              </w:tc>
              <w:tc>
                <w:tcPr>
                  <w:tcW w:w="1060"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6ED75EE4"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To 27/06/19</w:t>
                  </w:r>
                </w:p>
              </w:tc>
              <w:tc>
                <w:tcPr>
                  <w:tcW w:w="1060" w:type="dxa"/>
                  <w:tcBorders>
                    <w:top w:val="single" w:color="000000" w:sz="8"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9E10ED" w14:paraId="57603D53" w14:textId="77777777">
                  <w:pPr>
                    <w:suppressAutoHyphens w:val="0"/>
                    <w:spacing w:line="276" w:lineRule="auto"/>
                    <w:jc w:val="center"/>
                    <w:rPr>
                      <w:rFonts w:ascii="Arial" w:hAnsi="Arial" w:eastAsia="Times New Roman" w:cs="Arial"/>
                      <w:color w:val="002060"/>
                      <w:sz w:val="20"/>
                      <w:szCs w:val="20"/>
                      <w:lang w:eastAsia="en-GB"/>
                    </w:rPr>
                  </w:pPr>
                </w:p>
              </w:tc>
            </w:tr>
            <w:tr w:rsidR="009E10ED" w14:paraId="3ACE747F" w14:textId="77777777">
              <w:tblPrEx>
                <w:tblCellMar>
                  <w:top w:w="0" w:type="dxa"/>
                  <w:bottom w:w="0" w:type="dxa"/>
                </w:tblCellMar>
              </w:tblPrEx>
              <w:trPr>
                <w:trHeight w:val="510"/>
              </w:trPr>
              <w:tc>
                <w:tcPr>
                  <w:tcW w:w="1106" w:type="dxa"/>
                  <w:tcBorders>
                    <w:top w:val="single" w:color="000000" w:sz="8" w:space="0"/>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EE84AE9" w14:textId="77777777">
                  <w:pPr>
                    <w:suppressAutoHyphens w:val="0"/>
                    <w:spacing w:line="276" w:lineRule="auto"/>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All Crime</w:t>
                  </w:r>
                </w:p>
                <w:p w:rsidR="009E10ED" w:rsidRDefault="00685149" w14:paraId="108EAB6F" w14:textId="77777777">
                  <w:pPr>
                    <w:suppressAutoHyphens w:val="0"/>
                    <w:spacing w:line="276" w:lineRule="auto"/>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3,515</w:t>
                  </w:r>
                </w:p>
              </w:tc>
              <w:tc>
                <w:tcPr>
                  <w:tcW w:w="1060" w:type="dxa"/>
                  <w:tcBorders>
                    <w:top w:val="single" w:color="000000" w:sz="8"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4C536C2F" w14:textId="77777777">
                  <w:pPr>
                    <w:suppressAutoHyphens w:val="0"/>
                    <w:spacing w:line="276" w:lineRule="auto"/>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13.7%</w:t>
                  </w:r>
                </w:p>
              </w:tc>
              <w:tc>
                <w:tcPr>
                  <w:tcW w:w="1060"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376A1D05" w14:textId="77777777">
                  <w:pPr>
                    <w:suppressAutoHyphens w:val="0"/>
                    <w:spacing w:line="276" w:lineRule="auto"/>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3,056</w:t>
                  </w:r>
                </w:p>
              </w:tc>
              <w:tc>
                <w:tcPr>
                  <w:tcW w:w="1060" w:type="dxa"/>
                  <w:tcBorders>
                    <w:top w:val="single" w:color="000000" w:sz="8"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CE80967" w14:textId="77777777">
                  <w:pPr>
                    <w:suppressAutoHyphens w:val="0"/>
                    <w:spacing w:line="276" w:lineRule="auto"/>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13.4%</w:t>
                  </w:r>
                </w:p>
              </w:tc>
              <w:tc>
                <w:tcPr>
                  <w:tcW w:w="1060"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6CBDA449" w14:textId="77777777">
                  <w:pPr>
                    <w:suppressAutoHyphens w:val="0"/>
                    <w:spacing w:line="276" w:lineRule="auto"/>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4,136</w:t>
                  </w:r>
                </w:p>
              </w:tc>
              <w:tc>
                <w:tcPr>
                  <w:tcW w:w="1060" w:type="dxa"/>
                  <w:tcBorders>
                    <w:top w:val="single" w:color="000000" w:sz="8"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425465B4" w14:textId="77777777">
                  <w:pPr>
                    <w:suppressAutoHyphens w:val="0"/>
                    <w:spacing w:line="276" w:lineRule="auto"/>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15.9%</w:t>
                  </w:r>
                </w:p>
              </w:tc>
            </w:tr>
            <w:tr w:rsidR="009E10ED" w14:paraId="4ACF13EE"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1D57F844"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Victim Based</w:t>
                  </w:r>
                </w:p>
                <w:p w:rsidR="009E10ED" w:rsidRDefault="00685149" w14:paraId="52DC1128"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2,306</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5F8B1E2C"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10.8%</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77115460"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1,771</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6EDED145"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9.5%</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750F4192"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2,690</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65536178"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12.3%</w:t>
                  </w:r>
                </w:p>
              </w:tc>
            </w:tr>
            <w:tr w:rsidR="009E10ED" w14:paraId="4F38CBF8"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053C7B6A"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VAP</w:t>
                  </w:r>
                </w:p>
                <w:p w:rsidR="009E10ED" w:rsidRDefault="00685149" w14:paraId="7C573ED6"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1,100</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3A1293D3"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12.8%</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75BDD7B2"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836</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0F08C3E6"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10.1%</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E500853"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1,158</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3F5C33B7"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14.1%</w:t>
                  </w:r>
                </w:p>
              </w:tc>
            </w:tr>
            <w:tr w:rsidR="009E10ED" w14:paraId="3B7F1AF5"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0F5D6CA"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VWI</w:t>
                  </w:r>
                </w:p>
                <w:p w:rsidR="009E10ED" w:rsidRDefault="00685149" w14:paraId="023DDA3B"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486</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19E9AA8E"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16.8%</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3440C801"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329</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3445A49B"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13.0%</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6EC8AAC4"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624</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234C26F4"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19.4%</w:t>
                  </w:r>
                </w:p>
              </w:tc>
            </w:tr>
            <w:tr w:rsidR="009E10ED" w14:paraId="397E6570"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163A0B50"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VWO</w:t>
                  </w:r>
                </w:p>
                <w:p w:rsidR="009E10ED" w:rsidRDefault="00685149" w14:paraId="4BD0BB87"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412</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21B6FE1D"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12.8%</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043F70BC"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346</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10D499BE"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11.5%</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471ABF67"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372</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682DA0CA"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14.3%</w:t>
                  </w:r>
                </w:p>
              </w:tc>
            </w:tr>
            <w:tr w:rsidR="009E10ED" w14:paraId="78410620"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41063D6C"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Rape</w:t>
                  </w:r>
                </w:p>
                <w:p w:rsidR="009E10ED" w:rsidRDefault="00685149" w14:paraId="276F39DE"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25</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10BC71F"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8.1%</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6BE2E96B"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15</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B21A321"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5.7%</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47C3388"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10</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3BD1BCB3"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3.5%</w:t>
                  </w:r>
                </w:p>
              </w:tc>
            </w:tr>
            <w:tr w:rsidR="009E10ED" w14:paraId="6A6A34A1"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7194F76D"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 xml:space="preserve">Other sexual </w:t>
                  </w:r>
                </w:p>
                <w:p w:rsidR="009E10ED" w:rsidRDefault="00685149" w14:paraId="7AE50FE6"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lastRenderedPageBreak/>
                    <w:t>71</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409FDBC6"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lastRenderedPageBreak/>
                    <w:t>11.2%</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4FBF0016"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48</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6D733EEE"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9.0%</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794222B9"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68</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93B138E"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12.4%</w:t>
                  </w:r>
                </w:p>
              </w:tc>
            </w:tr>
            <w:tr w:rsidR="009E10ED" w14:paraId="522ABC82"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0772030C"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Bus Robbery</w:t>
                  </w:r>
                </w:p>
                <w:p w:rsidR="009E10ED" w:rsidRDefault="00685149" w14:paraId="3BEB8ED2"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14</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56D2CF40"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42.4%</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7065B698"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091AD816"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10.0%</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65E08900"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9</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1F4AA00"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37.5%</w:t>
                  </w:r>
                </w:p>
              </w:tc>
            </w:tr>
            <w:tr w:rsidR="009E10ED" w14:paraId="0E5A3B6C"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4C8EA077"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 xml:space="preserve">Personal </w:t>
                  </w:r>
                </w:p>
                <w:p w:rsidR="009E10ED" w:rsidRDefault="00685149" w14:paraId="16AEDBE3"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58</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4D364118"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27.9%</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356C2750"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17</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112CE9A1"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9.7%</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030B767F"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30</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69CD91AB"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10.7%</w:t>
                  </w:r>
                </w:p>
              </w:tc>
            </w:tr>
            <w:tr w:rsidR="009E10ED" w14:paraId="5D525347"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36A650BD"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Dwelling</w:t>
                  </w:r>
                </w:p>
                <w:p w:rsidR="009E10ED" w:rsidRDefault="00685149" w14:paraId="25742679"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64</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3F4B231"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7.5%</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0D64F186"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46</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4924E8F"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6.1%</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2BDCBC96"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83</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4E3B8B0D"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7.2%</w:t>
                  </w:r>
                </w:p>
              </w:tc>
            </w:tr>
            <w:tr w:rsidR="009E10ED" w14:paraId="179F1689"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3A51B7AA"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Commercial</w:t>
                  </w:r>
                </w:p>
                <w:p w:rsidR="009E10ED" w:rsidRDefault="00685149" w14:paraId="6BFFCBAC"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28</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4F357A4C"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7.0%</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1A19657"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25</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3F11748D"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9.1%</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1BB1231C"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41</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59CB37F"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7.6%</w:t>
                  </w:r>
                </w:p>
              </w:tc>
            </w:tr>
            <w:tr w:rsidR="009E10ED" w14:paraId="4A29ABBA"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4D3041F0"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Theft person</w:t>
                  </w:r>
                </w:p>
                <w:p w:rsidR="009E10ED" w:rsidRDefault="00685149" w14:paraId="4F5E688E"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21</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3DDFDA7"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7.9%</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2658E95A"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8</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3BFCFAEF"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4.0%</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73338979"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15</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1B2DE151"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4.1%</w:t>
                  </w:r>
                </w:p>
              </w:tc>
            </w:tr>
            <w:tr w:rsidR="009E10ED" w14:paraId="4EB02469"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3BADED77"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Bike</w:t>
                  </w:r>
                </w:p>
                <w:p w:rsidR="009E10ED" w:rsidRDefault="00685149" w14:paraId="1A7BC17A"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18BA3798"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1.1%</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3AF386A1"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10</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2B80A21C"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2.9%</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00D7DAED"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16</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3F665E6"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3.0%</w:t>
                  </w:r>
                </w:p>
              </w:tc>
            </w:tr>
            <w:tr w:rsidR="009E10ED" w14:paraId="241BB93E"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671BF43"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Shop</w:t>
                  </w:r>
                </w:p>
                <w:p w:rsidR="009E10ED" w:rsidRDefault="00685149" w14:paraId="64C3557D"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530</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34B388AF"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18.9%</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668F671B"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418</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2673663B"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20.1%</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34259CBB"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781</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21FA8DB9"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29.1%</w:t>
                  </w:r>
                </w:p>
              </w:tc>
            </w:tr>
            <w:tr w:rsidR="009E10ED" w14:paraId="0710327B"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69E3A7E"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Domestic Crime</w:t>
                  </w:r>
                </w:p>
                <w:p w:rsidR="009E10ED" w:rsidRDefault="00685149" w14:paraId="0F36CBBE"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443</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4432F4F1"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11.0%</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71EB8EE0"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352</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4D51298"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10.2%</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2D374EBA"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535</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3DD3F2A3"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15.9%</w:t>
                  </w:r>
                </w:p>
              </w:tc>
            </w:tr>
            <w:tr w:rsidR="009E10ED" w14:paraId="1DF91CCC" w14:textId="77777777">
              <w:tblPrEx>
                <w:tblCellMar>
                  <w:top w:w="0" w:type="dxa"/>
                  <w:bottom w:w="0" w:type="dxa"/>
                </w:tblCellMar>
              </w:tblPrEx>
              <w:trPr>
                <w:trHeight w:val="523"/>
              </w:trPr>
              <w:tc>
                <w:tcPr>
                  <w:tcW w:w="1106"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136D554E"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Hate</w:t>
                  </w:r>
                </w:p>
                <w:p w:rsidR="009E10ED" w:rsidRDefault="00685149" w14:paraId="646E42C9"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86</w:t>
                  </w:r>
                </w:p>
              </w:tc>
              <w:tc>
                <w:tcPr>
                  <w:tcW w:w="1060" w:type="dxa"/>
                  <w:tcBorders>
                    <w:top w:val="single" w:color="000000" w:sz="4" w:space="0"/>
                    <w:left w:val="single" w:color="000000" w:sz="4" w:space="0"/>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750514B9" w14:textId="77777777">
                  <w:pPr>
                    <w:suppressAutoHyphens w:val="0"/>
                    <w:spacing w:line="276" w:lineRule="auto"/>
                    <w:jc w:val="center"/>
                    <w:rPr>
                      <w:rFonts w:ascii="Arial" w:hAnsi="Arial" w:eastAsia="Times New Roman" w:cs="Arial"/>
                      <w:color w:val="00B050"/>
                      <w:sz w:val="20"/>
                      <w:szCs w:val="20"/>
                      <w:lang w:eastAsia="en-GB"/>
                    </w:rPr>
                  </w:pPr>
                  <w:r>
                    <w:rPr>
                      <w:rFonts w:ascii="Arial" w:hAnsi="Arial" w:eastAsia="Times New Roman" w:cs="Arial"/>
                      <w:color w:val="00B050"/>
                      <w:sz w:val="20"/>
                      <w:szCs w:val="20"/>
                      <w:lang w:eastAsia="en-GB"/>
                    </w:rPr>
                    <w:t>20.3%</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5EF8F923"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72</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107A9E57"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12.7%</w:t>
                  </w:r>
                </w:p>
              </w:tc>
              <w:tc>
                <w:tcPr>
                  <w:tcW w:w="1060" w:type="dxa"/>
                  <w:tcBorders>
                    <w:bottom w:val="single" w:color="000000" w:sz="4" w:space="0"/>
                    <w:right w:val="single" w:color="000000" w:sz="4" w:space="0"/>
                  </w:tcBorders>
                  <w:shd w:val="clear" w:color="auto" w:fill="auto"/>
                  <w:noWrap/>
                  <w:tcMar>
                    <w:top w:w="0" w:type="dxa"/>
                    <w:left w:w="108" w:type="dxa"/>
                    <w:bottom w:w="0" w:type="dxa"/>
                    <w:right w:w="108" w:type="dxa"/>
                  </w:tcMar>
                  <w:vAlign w:val="center"/>
                </w:tcPr>
                <w:p w:rsidR="009E10ED" w:rsidRDefault="00685149" w14:paraId="4B19354A"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61</w:t>
                  </w:r>
                </w:p>
              </w:tc>
              <w:tc>
                <w:tcPr>
                  <w:tcW w:w="1060" w:type="dxa"/>
                  <w:tcBorders>
                    <w:bottom w:val="single" w:color="000000" w:sz="4" w:space="0"/>
                    <w:right w:val="single" w:color="000000" w:sz="8" w:space="0"/>
                  </w:tcBorders>
                  <w:shd w:val="clear" w:color="auto" w:fill="auto"/>
                  <w:noWrap/>
                  <w:tcMar>
                    <w:top w:w="0" w:type="dxa"/>
                    <w:left w:w="108" w:type="dxa"/>
                    <w:bottom w:w="0" w:type="dxa"/>
                    <w:right w:w="108" w:type="dxa"/>
                  </w:tcMar>
                  <w:vAlign w:val="center"/>
                </w:tcPr>
                <w:p w:rsidR="009E10ED" w:rsidRDefault="00685149" w14:paraId="211E2EE0" w14:textId="77777777">
                  <w:pPr>
                    <w:suppressAutoHyphens w:val="0"/>
                    <w:spacing w:line="276" w:lineRule="auto"/>
                    <w:jc w:val="center"/>
                    <w:rPr>
                      <w:rFonts w:ascii="Arial" w:hAnsi="Arial" w:eastAsia="Times New Roman" w:cs="Arial"/>
                      <w:color w:val="002060"/>
                      <w:sz w:val="20"/>
                      <w:szCs w:val="20"/>
                      <w:lang w:eastAsia="en-GB"/>
                    </w:rPr>
                  </w:pPr>
                  <w:r>
                    <w:rPr>
                      <w:rFonts w:ascii="Arial" w:hAnsi="Arial" w:eastAsia="Times New Roman" w:cs="Arial"/>
                      <w:color w:val="002060"/>
                      <w:sz w:val="20"/>
                      <w:szCs w:val="20"/>
                      <w:lang w:eastAsia="en-GB"/>
                    </w:rPr>
                    <w:t>14.5%</w:t>
                  </w:r>
                </w:p>
              </w:tc>
            </w:tr>
          </w:tbl>
          <w:p w:rsidR="009E10ED" w:rsidRDefault="009E10ED" w14:paraId="78D27448" w14:textId="77777777">
            <w:pPr>
              <w:rPr>
                <w:rFonts w:ascii="Arial" w:hAnsi="Arial" w:cs="Arial"/>
              </w:rPr>
            </w:pPr>
          </w:p>
          <w:p w:rsidR="009E10ED" w:rsidRDefault="009E10ED" w14:paraId="3CC3D482" w14:textId="77777777">
            <w:pPr>
              <w:rPr>
                <w:rFonts w:ascii="Arial" w:hAnsi="Arial" w:cs="Arial"/>
              </w:rPr>
            </w:pPr>
          </w:p>
          <w:p w:rsidR="009E10ED" w:rsidRDefault="009E10ED" w14:paraId="3FBC5DDD" w14:textId="77777777">
            <w:pPr>
              <w:rPr>
                <w:rFonts w:ascii="Arial" w:hAnsi="Arial" w:cs="Arial"/>
              </w:rPr>
            </w:pPr>
          </w:p>
          <w:p w:rsidR="009E10ED" w:rsidRDefault="009E10ED" w14:paraId="3869AA92" w14:textId="77777777">
            <w:pPr>
              <w:rPr>
                <w:rFonts w:ascii="Arial" w:hAnsi="Arial" w:cs="Arial"/>
              </w:rPr>
            </w:pPr>
          </w:p>
          <w:p w:rsidR="009E10ED" w:rsidRDefault="009E10ED" w14:paraId="48C18139" w14:textId="77777777">
            <w:pPr>
              <w:rPr>
                <w:rFonts w:ascii="Arial" w:hAnsi="Arial" w:cs="Arial"/>
              </w:rPr>
            </w:pPr>
          </w:p>
          <w:p w:rsidR="009E10ED" w:rsidRDefault="009E10ED" w14:paraId="42874DE9" w14:textId="77777777">
            <w:pPr>
              <w:rPr>
                <w:rFonts w:ascii="Arial" w:hAnsi="Arial" w:cs="Arial"/>
              </w:rPr>
            </w:pPr>
          </w:p>
          <w:p w:rsidR="009E10ED" w:rsidRDefault="009E10ED" w14:paraId="5BC4B431" w14:textId="77777777">
            <w:pPr>
              <w:rPr>
                <w:rFonts w:ascii="Arial" w:hAnsi="Arial" w:cs="Arial"/>
              </w:rPr>
            </w:pPr>
          </w:p>
          <w:p w:rsidR="009E10ED" w:rsidRDefault="009E10ED" w14:paraId="24419FC2" w14:textId="77777777">
            <w:pPr>
              <w:rPr>
                <w:rFonts w:ascii="Arial" w:hAnsi="Arial" w:cs="Arial"/>
              </w:rPr>
            </w:pPr>
          </w:p>
          <w:p w:rsidR="009E10ED" w:rsidRDefault="009E10ED" w14:paraId="049A94CC" w14:textId="77777777">
            <w:pPr>
              <w:rPr>
                <w:rFonts w:ascii="Arial" w:hAnsi="Arial" w:cs="Arial"/>
              </w:rPr>
            </w:pPr>
          </w:p>
          <w:p w:rsidR="009E10ED" w:rsidRDefault="009E10ED" w14:paraId="394AF5E1" w14:textId="77777777">
            <w:pPr>
              <w:rPr>
                <w:rFonts w:ascii="Arial" w:hAnsi="Arial" w:cs="Arial"/>
              </w:rPr>
            </w:pPr>
          </w:p>
          <w:p w:rsidR="009E10ED" w:rsidRDefault="009E10ED" w14:paraId="0BC7932E" w14:textId="77777777">
            <w:pPr>
              <w:rPr>
                <w:rFonts w:ascii="Arial" w:hAnsi="Arial" w:cs="Arial"/>
              </w:rPr>
            </w:pPr>
          </w:p>
          <w:p w:rsidR="009E10ED" w:rsidRDefault="00685149" w14:paraId="02660868" w14:textId="77777777">
            <w:pPr>
              <w:rPr>
                <w:rFonts w:ascii="Arial" w:hAnsi="Arial" w:cs="Arial"/>
              </w:rPr>
            </w:pPr>
            <w:r>
              <w:rPr>
                <w:rFonts w:ascii="Arial" w:hAnsi="Arial" w:cs="Arial"/>
              </w:rPr>
              <w:t xml:space="preserve">Provided below is the </w:t>
            </w:r>
            <w:r>
              <w:rPr>
                <w:rFonts w:ascii="Arial" w:hAnsi="Arial" w:cs="Arial"/>
              </w:rPr>
              <w:t xml:space="preserve">most recent outcome data for comparison against the region and our MSG – up to end of April </w:t>
            </w:r>
            <w:proofErr w:type="gramStart"/>
            <w:r>
              <w:rPr>
                <w:rFonts w:ascii="Arial" w:hAnsi="Arial" w:cs="Arial"/>
              </w:rPr>
              <w:t>2022 .</w:t>
            </w:r>
            <w:proofErr w:type="gramEnd"/>
          </w:p>
          <w:p w:rsidR="009E10ED" w:rsidRDefault="009E10ED" w14:paraId="1F5D3634" w14:textId="77777777">
            <w:pPr>
              <w:rPr>
                <w:rFonts w:ascii="Arial" w:hAnsi="Arial" w:cs="Arial"/>
              </w:rPr>
            </w:pPr>
          </w:p>
          <w:p w:rsidR="009E10ED" w:rsidRDefault="00685149" w14:paraId="55F53A1D" w14:textId="77777777">
            <w:r>
              <w:rPr>
                <w:noProof/>
              </w:rPr>
              <w:drawing>
                <wp:anchor distT="0" distB="0" distL="114300" distR="114300" simplePos="0" relativeHeight="251658240" behindDoc="0" locked="0" layoutInCell="1" allowOverlap="1" wp14:editId="1C4FA77A" wp14:anchorId="43472B29">
                  <wp:simplePos x="0" y="0"/>
                  <wp:positionH relativeFrom="margin">
                    <wp:posOffset>-146047</wp:posOffset>
                  </wp:positionH>
                  <wp:positionV relativeFrom="paragraph">
                    <wp:posOffset>90809</wp:posOffset>
                  </wp:positionV>
                  <wp:extent cx="8065766" cy="5022854"/>
                  <wp:effectExtent l="0" t="0" r="0" b="6346"/>
                  <wp:wrapTight wrapText="bothSides">
                    <wp:wrapPolygon edited="0">
                      <wp:start x="0" y="0"/>
                      <wp:lineTo x="0" y="21545"/>
                      <wp:lineTo x="21530" y="21545"/>
                      <wp:lineTo x="21530"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065766" cy="5022854"/>
                          </a:xfrm>
                          <a:prstGeom prst="rect">
                            <a:avLst/>
                          </a:prstGeom>
                          <a:noFill/>
                          <a:ln>
                            <a:noFill/>
                            <a:prstDash/>
                          </a:ln>
                        </pic:spPr>
                      </pic:pic>
                    </a:graphicData>
                  </a:graphic>
                </wp:anchor>
              </w:drawing>
            </w:r>
          </w:p>
          <w:p w:rsidR="009E10ED" w:rsidRDefault="009E10ED" w14:paraId="3BC3577B" w14:textId="77777777">
            <w:pPr>
              <w:rPr>
                <w:rFonts w:ascii="Arial" w:hAnsi="Arial" w:cs="Arial"/>
              </w:rPr>
            </w:pPr>
          </w:p>
          <w:p w:rsidR="009E10ED" w:rsidRDefault="009E10ED" w14:paraId="4FFFE791" w14:textId="77777777">
            <w:pPr>
              <w:rPr>
                <w:rFonts w:ascii="Arial" w:hAnsi="Arial" w:cs="Arial"/>
              </w:rPr>
            </w:pPr>
          </w:p>
          <w:p w:rsidR="009E10ED" w:rsidRDefault="009E10ED" w14:paraId="2763965F" w14:textId="77777777">
            <w:pPr>
              <w:rPr>
                <w:rFonts w:ascii="Arial" w:hAnsi="Arial" w:cs="Arial"/>
              </w:rPr>
            </w:pPr>
          </w:p>
          <w:p w:rsidR="009E10ED" w:rsidRDefault="009E10ED" w14:paraId="328C752F" w14:textId="77777777">
            <w:pPr>
              <w:rPr>
                <w:rFonts w:ascii="Arial" w:hAnsi="Arial" w:cs="Arial"/>
              </w:rPr>
            </w:pPr>
          </w:p>
          <w:p w:rsidR="009E10ED" w:rsidRDefault="009E10ED" w14:paraId="5178482A" w14:textId="77777777">
            <w:pPr>
              <w:rPr>
                <w:rFonts w:ascii="Arial" w:hAnsi="Arial" w:cs="Arial"/>
              </w:rPr>
            </w:pPr>
          </w:p>
          <w:p w:rsidR="009E10ED" w:rsidRDefault="009E10ED" w14:paraId="0E756706" w14:textId="77777777">
            <w:pPr>
              <w:rPr>
                <w:rFonts w:ascii="Arial" w:hAnsi="Arial" w:cs="Arial"/>
              </w:rPr>
            </w:pPr>
          </w:p>
          <w:p w:rsidR="009E10ED" w:rsidRDefault="009E10ED" w14:paraId="48FE1D02" w14:textId="77777777">
            <w:pPr>
              <w:rPr>
                <w:rFonts w:ascii="Arial" w:hAnsi="Arial" w:cs="Arial"/>
              </w:rPr>
            </w:pPr>
          </w:p>
          <w:p w:rsidR="009E10ED" w:rsidRDefault="009E10ED" w14:paraId="57ABA8AC" w14:textId="77777777">
            <w:pPr>
              <w:rPr>
                <w:rFonts w:ascii="Arial" w:hAnsi="Arial" w:cs="Arial"/>
              </w:rPr>
            </w:pPr>
          </w:p>
          <w:p w:rsidR="009E10ED" w:rsidRDefault="009E10ED" w14:paraId="6F72AB3E" w14:textId="77777777">
            <w:pPr>
              <w:rPr>
                <w:rFonts w:ascii="Arial" w:hAnsi="Arial" w:cs="Arial"/>
              </w:rPr>
            </w:pPr>
          </w:p>
          <w:p w:rsidR="009E10ED" w:rsidRDefault="009E10ED" w14:paraId="1D2064C8" w14:textId="77777777">
            <w:pPr>
              <w:rPr>
                <w:rFonts w:ascii="Arial" w:hAnsi="Arial" w:cs="Arial"/>
              </w:rPr>
            </w:pPr>
          </w:p>
          <w:p w:rsidR="009E10ED" w:rsidRDefault="009E10ED" w14:paraId="7EC71ED9" w14:textId="77777777">
            <w:pPr>
              <w:rPr>
                <w:rFonts w:ascii="Arial" w:hAnsi="Arial" w:cs="Arial"/>
              </w:rPr>
            </w:pPr>
          </w:p>
          <w:p w:rsidR="009E10ED" w:rsidRDefault="009E10ED" w14:paraId="37F77500" w14:textId="77777777">
            <w:pPr>
              <w:rPr>
                <w:rFonts w:ascii="Arial" w:hAnsi="Arial" w:cs="Arial"/>
              </w:rPr>
            </w:pPr>
          </w:p>
          <w:p w:rsidR="009E10ED" w:rsidRDefault="009E10ED" w14:paraId="2B5058BE" w14:textId="77777777">
            <w:pPr>
              <w:rPr>
                <w:rFonts w:ascii="Arial" w:hAnsi="Arial" w:cs="Arial"/>
              </w:rPr>
            </w:pPr>
          </w:p>
          <w:p w:rsidR="009E10ED" w:rsidRDefault="009E10ED" w14:paraId="44693F66" w14:textId="77777777">
            <w:pPr>
              <w:rPr>
                <w:rFonts w:ascii="Arial" w:hAnsi="Arial" w:cs="Arial"/>
              </w:rPr>
            </w:pPr>
          </w:p>
          <w:p w:rsidR="009E10ED" w:rsidRDefault="009E10ED" w14:paraId="14B205BF" w14:textId="77777777">
            <w:pPr>
              <w:rPr>
                <w:rFonts w:ascii="Arial" w:hAnsi="Arial" w:cs="Arial"/>
              </w:rPr>
            </w:pPr>
          </w:p>
          <w:p w:rsidR="009E10ED" w:rsidRDefault="009E10ED" w14:paraId="0C933420" w14:textId="77777777">
            <w:pPr>
              <w:rPr>
                <w:rFonts w:ascii="Arial" w:hAnsi="Arial" w:cs="Arial"/>
              </w:rPr>
            </w:pPr>
          </w:p>
          <w:p w:rsidR="009E10ED" w:rsidRDefault="009E10ED" w14:paraId="06436AE6" w14:textId="77777777">
            <w:pPr>
              <w:rPr>
                <w:rFonts w:ascii="Arial" w:hAnsi="Arial" w:cs="Arial"/>
              </w:rPr>
            </w:pPr>
          </w:p>
          <w:p w:rsidR="009E10ED" w:rsidRDefault="009E10ED" w14:paraId="6368A0AA" w14:textId="77777777">
            <w:pPr>
              <w:rPr>
                <w:rFonts w:ascii="Arial" w:hAnsi="Arial" w:cs="Arial"/>
              </w:rPr>
            </w:pPr>
          </w:p>
          <w:p w:rsidR="009E10ED" w:rsidRDefault="009E10ED" w14:paraId="3FE892EB" w14:textId="77777777">
            <w:pPr>
              <w:rPr>
                <w:rFonts w:ascii="Arial" w:hAnsi="Arial" w:cs="Arial"/>
              </w:rPr>
            </w:pPr>
          </w:p>
          <w:p w:rsidR="009E10ED" w:rsidRDefault="009E10ED" w14:paraId="58591032" w14:textId="77777777">
            <w:pPr>
              <w:rPr>
                <w:rFonts w:ascii="Arial" w:hAnsi="Arial" w:cs="Arial"/>
              </w:rPr>
            </w:pPr>
          </w:p>
          <w:p w:rsidR="009E10ED" w:rsidRDefault="009E10ED" w14:paraId="6BCF2B4C" w14:textId="77777777">
            <w:pPr>
              <w:rPr>
                <w:rFonts w:ascii="Arial" w:hAnsi="Arial" w:cs="Arial"/>
              </w:rPr>
            </w:pPr>
          </w:p>
          <w:p w:rsidR="009E10ED" w:rsidRDefault="009E10ED" w14:paraId="05BCFA59" w14:textId="77777777">
            <w:pPr>
              <w:rPr>
                <w:rFonts w:ascii="Arial" w:hAnsi="Arial" w:cs="Arial"/>
              </w:rPr>
            </w:pPr>
          </w:p>
          <w:p w:rsidR="009E10ED" w:rsidRDefault="009E10ED" w14:paraId="3DDCE600" w14:textId="77777777">
            <w:pPr>
              <w:rPr>
                <w:rFonts w:ascii="Arial" w:hAnsi="Arial" w:cs="Arial"/>
              </w:rPr>
            </w:pPr>
          </w:p>
          <w:p w:rsidR="009E10ED" w:rsidRDefault="009E10ED" w14:paraId="5E705448" w14:textId="77777777">
            <w:pPr>
              <w:rPr>
                <w:rFonts w:ascii="Arial" w:hAnsi="Arial" w:cs="Arial"/>
              </w:rPr>
            </w:pPr>
          </w:p>
          <w:p w:rsidR="009E10ED" w:rsidRDefault="009E10ED" w14:paraId="165E3689" w14:textId="77777777">
            <w:pPr>
              <w:rPr>
                <w:rFonts w:ascii="Arial" w:hAnsi="Arial" w:cs="Arial"/>
              </w:rPr>
            </w:pPr>
          </w:p>
          <w:p w:rsidR="009E10ED" w:rsidRDefault="009E10ED" w14:paraId="375EDA38" w14:textId="77777777">
            <w:pPr>
              <w:rPr>
                <w:rFonts w:ascii="Arial" w:hAnsi="Arial" w:cs="Arial"/>
              </w:rPr>
            </w:pPr>
          </w:p>
          <w:p w:rsidR="009E10ED" w:rsidRDefault="009E10ED" w14:paraId="4CE675E0" w14:textId="77777777">
            <w:pPr>
              <w:rPr>
                <w:rFonts w:ascii="Arial" w:hAnsi="Arial" w:cs="Arial"/>
              </w:rPr>
            </w:pPr>
          </w:p>
          <w:p w:rsidR="009E10ED" w:rsidRDefault="009E10ED" w14:paraId="404502EB" w14:textId="77777777">
            <w:pPr>
              <w:rPr>
                <w:rFonts w:ascii="Arial" w:hAnsi="Arial" w:cs="Arial"/>
              </w:rPr>
            </w:pPr>
          </w:p>
          <w:p w:rsidR="009E10ED" w:rsidRDefault="009E10ED" w14:paraId="328DC478" w14:textId="77777777">
            <w:pPr>
              <w:rPr>
                <w:rFonts w:ascii="Arial" w:hAnsi="Arial" w:cs="Arial"/>
              </w:rPr>
            </w:pPr>
          </w:p>
          <w:p w:rsidR="009E10ED" w:rsidRDefault="009E10ED" w14:paraId="03B6F3EF" w14:textId="77777777">
            <w:pPr>
              <w:rPr>
                <w:rFonts w:ascii="Arial" w:hAnsi="Arial" w:cs="Arial"/>
              </w:rPr>
            </w:pPr>
          </w:p>
          <w:p w:rsidR="009E10ED" w:rsidRDefault="009E10ED" w14:paraId="1CB8BE1D" w14:textId="77777777">
            <w:pPr>
              <w:rPr>
                <w:rFonts w:ascii="Arial" w:hAnsi="Arial" w:cs="Arial"/>
              </w:rPr>
            </w:pPr>
          </w:p>
          <w:p w:rsidR="009E10ED" w:rsidRDefault="009E10ED" w14:paraId="76623167" w14:textId="77777777">
            <w:pPr>
              <w:rPr>
                <w:rFonts w:ascii="Arial" w:hAnsi="Arial" w:cs="Arial"/>
                <w:b/>
                <w:bCs/>
                <w:u w:val="single"/>
              </w:rPr>
            </w:pPr>
          </w:p>
          <w:p w:rsidR="009E10ED" w:rsidRDefault="00685149" w14:paraId="300E3893" w14:textId="77777777">
            <w:pPr>
              <w:rPr>
                <w:rFonts w:ascii="Arial" w:hAnsi="Arial" w:cs="Arial"/>
                <w:b/>
                <w:bCs/>
                <w:u w:val="single"/>
              </w:rPr>
            </w:pPr>
            <w:r>
              <w:rPr>
                <w:rFonts w:ascii="Arial" w:hAnsi="Arial" w:cs="Arial"/>
                <w:b/>
                <w:bCs/>
                <w:u w:val="single"/>
              </w:rPr>
              <w:t xml:space="preserve">Approach/oversight relating to outcome performance: </w:t>
            </w:r>
          </w:p>
          <w:p w:rsidR="009E10ED" w:rsidRDefault="009E10ED" w14:paraId="2C9D387E" w14:textId="77777777">
            <w:pPr>
              <w:rPr>
                <w:rFonts w:ascii="Arial" w:hAnsi="Arial" w:cs="Arial"/>
                <w:b/>
                <w:bCs/>
                <w:u w:val="single"/>
              </w:rPr>
            </w:pPr>
          </w:p>
          <w:p w:rsidR="009E10ED" w:rsidRDefault="00685149" w14:paraId="268D127E" w14:textId="77777777">
            <w:pPr>
              <w:rPr>
                <w:rFonts w:ascii="Arial" w:hAnsi="Arial" w:cs="Arial"/>
              </w:rPr>
            </w:pPr>
            <w:r>
              <w:rPr>
                <w:rFonts w:ascii="Arial" w:hAnsi="Arial" w:cs="Arial"/>
              </w:rPr>
              <w:t xml:space="preserve">Scrutiny around outcomes has been elevated over the course of the </w:t>
            </w:r>
            <w:r>
              <w:rPr>
                <w:rFonts w:ascii="Arial" w:hAnsi="Arial" w:cs="Arial"/>
              </w:rPr>
              <w:t>last 12-18 months and as a result we have been enjoying a trajectory of improving performance.</w:t>
            </w:r>
          </w:p>
          <w:p w:rsidR="009E10ED" w:rsidRDefault="009E10ED" w14:paraId="0D0B21A6" w14:textId="77777777">
            <w:pPr>
              <w:rPr>
                <w:rFonts w:ascii="Arial" w:hAnsi="Arial" w:cs="Arial"/>
              </w:rPr>
            </w:pPr>
          </w:p>
          <w:p w:rsidR="009E10ED" w:rsidRDefault="00685149" w14:paraId="7F16A7C8" w14:textId="77777777">
            <w:pPr>
              <w:rPr>
                <w:rFonts w:ascii="Arial" w:hAnsi="Arial" w:cs="Arial"/>
              </w:rPr>
            </w:pPr>
            <w:r>
              <w:rPr>
                <w:rFonts w:ascii="Arial" w:hAnsi="Arial" w:cs="Arial"/>
              </w:rPr>
              <w:t xml:space="preserve">Our approach </w:t>
            </w:r>
            <w:proofErr w:type="gramStart"/>
            <w:r>
              <w:rPr>
                <w:rFonts w:ascii="Arial" w:hAnsi="Arial" w:cs="Arial"/>
              </w:rPr>
              <w:t>has to</w:t>
            </w:r>
            <w:proofErr w:type="gramEnd"/>
            <w:r>
              <w:rPr>
                <w:rFonts w:ascii="Arial" w:hAnsi="Arial" w:cs="Arial"/>
              </w:rPr>
              <w:t xml:space="preserve"> been to focus on the quality of investigation, whilst at the same time, providing some additional governance via our Operational Performance</w:t>
            </w:r>
            <w:r>
              <w:rPr>
                <w:rFonts w:ascii="Arial" w:hAnsi="Arial" w:cs="Arial"/>
              </w:rPr>
              <w:t xml:space="preserve"> Review (chaired quarterly by the ACC Crime) and our CJ Board (chaired quarterly by ACC Crime.)</w:t>
            </w:r>
          </w:p>
          <w:p w:rsidR="009E10ED" w:rsidRDefault="009E10ED" w14:paraId="232F92A1" w14:textId="77777777">
            <w:pPr>
              <w:rPr>
                <w:rFonts w:ascii="Arial" w:hAnsi="Arial" w:cs="Arial"/>
              </w:rPr>
            </w:pPr>
          </w:p>
          <w:p w:rsidR="009E10ED" w:rsidRDefault="00685149" w14:paraId="7318DE69" w14:textId="77777777">
            <w:pPr>
              <w:rPr>
                <w:rFonts w:ascii="Arial" w:hAnsi="Arial" w:cs="Arial"/>
              </w:rPr>
            </w:pPr>
            <w:r>
              <w:rPr>
                <w:rFonts w:ascii="Arial" w:hAnsi="Arial" w:cs="Arial"/>
              </w:rPr>
              <w:t xml:space="preserve">The </w:t>
            </w:r>
            <w:proofErr w:type="spellStart"/>
            <w:r>
              <w:rPr>
                <w:rFonts w:ascii="Arial" w:hAnsi="Arial" w:cs="Arial"/>
              </w:rPr>
              <w:t>MoJ</w:t>
            </w:r>
            <w:proofErr w:type="spellEnd"/>
            <w:r>
              <w:rPr>
                <w:rFonts w:ascii="Arial" w:hAnsi="Arial" w:cs="Arial"/>
              </w:rPr>
              <w:t xml:space="preserve"> CJ Score card has focussed our scrutiny even further and the data shared through this route is examined </w:t>
            </w:r>
            <w:proofErr w:type="gramStart"/>
            <w:r>
              <w:rPr>
                <w:rFonts w:ascii="Arial" w:hAnsi="Arial" w:cs="Arial"/>
              </w:rPr>
              <w:t>on a monthly basis</w:t>
            </w:r>
            <w:proofErr w:type="gramEnd"/>
            <w:r>
              <w:rPr>
                <w:rFonts w:ascii="Arial" w:hAnsi="Arial" w:cs="Arial"/>
              </w:rPr>
              <w:t xml:space="preserve"> and helps to drive </w:t>
            </w:r>
            <w:r>
              <w:rPr>
                <w:rFonts w:ascii="Arial" w:hAnsi="Arial" w:cs="Arial"/>
              </w:rPr>
              <w:t>improvement activity.</w:t>
            </w:r>
          </w:p>
          <w:p w:rsidR="009E10ED" w:rsidRDefault="009E10ED" w14:paraId="1C195DA1" w14:textId="77777777">
            <w:pPr>
              <w:rPr>
                <w:rFonts w:ascii="Arial" w:hAnsi="Arial" w:cs="Arial"/>
              </w:rPr>
            </w:pPr>
          </w:p>
          <w:p w:rsidR="009E10ED" w:rsidRDefault="00685149" w14:paraId="1429AA28" w14:textId="77777777">
            <w:pPr>
              <w:rPr>
                <w:rFonts w:ascii="Arial" w:hAnsi="Arial" w:cs="Arial"/>
              </w:rPr>
            </w:pPr>
            <w:r>
              <w:rPr>
                <w:rFonts w:ascii="Arial" w:hAnsi="Arial" w:cs="Arial"/>
              </w:rPr>
              <w:t>Our approach to outcomes has been further augmented through the following:</w:t>
            </w:r>
          </w:p>
          <w:p w:rsidR="009E10ED" w:rsidRDefault="009E10ED" w14:paraId="1D716AA5" w14:textId="77777777">
            <w:pPr>
              <w:rPr>
                <w:rFonts w:ascii="Arial" w:hAnsi="Arial" w:cs="Arial"/>
              </w:rPr>
            </w:pPr>
          </w:p>
          <w:p w:rsidR="009E10ED" w:rsidRDefault="00685149" w14:paraId="2314F291" w14:textId="77777777">
            <w:pPr>
              <w:jc w:val="both"/>
              <w:rPr>
                <w:rFonts w:ascii="Arial" w:hAnsi="Arial" w:cs="Arial"/>
                <w:b/>
                <w:bCs/>
                <w:u w:val="single"/>
              </w:rPr>
            </w:pPr>
            <w:r>
              <w:rPr>
                <w:rFonts w:ascii="Arial" w:hAnsi="Arial" w:cs="Arial"/>
                <w:b/>
                <w:bCs/>
                <w:u w:val="single"/>
              </w:rPr>
              <w:t>Improving Investigations Group (IIG)</w:t>
            </w:r>
          </w:p>
          <w:p w:rsidR="009E10ED" w:rsidRDefault="009E10ED" w14:paraId="75AA681C" w14:textId="77777777">
            <w:pPr>
              <w:jc w:val="both"/>
              <w:rPr>
                <w:rFonts w:ascii="Arial" w:hAnsi="Arial" w:cs="Arial"/>
                <w:b/>
                <w:bCs/>
              </w:rPr>
            </w:pPr>
          </w:p>
          <w:p w:rsidR="009E10ED" w:rsidRDefault="00685149" w14:paraId="2568E64C" w14:textId="77777777">
            <w:pPr>
              <w:jc w:val="both"/>
              <w:rPr>
                <w:rFonts w:ascii="Arial" w:hAnsi="Arial" w:cs="Arial"/>
              </w:rPr>
            </w:pPr>
            <w:r>
              <w:rPr>
                <w:rFonts w:ascii="Arial" w:hAnsi="Arial" w:cs="Arial"/>
              </w:rPr>
              <w:t xml:space="preserve">This meeting is chaired by the Head of Crime (Chief Det Supt Gary Hooks).  The purpose of the group is to </w:t>
            </w:r>
            <w:r>
              <w:rPr>
                <w:rFonts w:ascii="Arial" w:hAnsi="Arial" w:cs="Arial"/>
              </w:rPr>
              <w:t>improve the quality of investigations across the force.  It comprises of staff from all areas of investigation including Public Protection/Criminal Investigation Department/Serious and Organised C/PHT) and specialist areas (Managing Information/Crime Regis</w:t>
            </w:r>
            <w:r>
              <w:rPr>
                <w:rFonts w:ascii="Arial" w:hAnsi="Arial" w:cs="Arial"/>
              </w:rPr>
              <w:t xml:space="preserve">trar).  </w:t>
            </w:r>
          </w:p>
          <w:p w:rsidR="009E10ED" w:rsidRDefault="00685149" w14:paraId="4457A948" w14:textId="77777777">
            <w:pPr>
              <w:jc w:val="both"/>
              <w:rPr>
                <w:rFonts w:ascii="Arial" w:hAnsi="Arial" w:cs="Arial"/>
              </w:rPr>
            </w:pPr>
            <w:r>
              <w:rPr>
                <w:rFonts w:ascii="Arial" w:hAnsi="Arial" w:cs="Arial"/>
              </w:rPr>
              <w:t>The quality of investigations, measured against the standards set out in our investigation procedure, are monitored through a schedule of audits which report to the IIG to inform improvement activity including training and development opportunitie</w:t>
            </w:r>
            <w:r>
              <w:rPr>
                <w:rFonts w:ascii="Arial" w:hAnsi="Arial" w:cs="Arial"/>
              </w:rPr>
              <w:t>s for our staff.</w:t>
            </w:r>
          </w:p>
          <w:p w:rsidR="009E10ED" w:rsidRDefault="009E10ED" w14:paraId="7206076B" w14:textId="77777777">
            <w:pPr>
              <w:jc w:val="both"/>
              <w:rPr>
                <w:rFonts w:ascii="Arial" w:hAnsi="Arial" w:cs="Arial"/>
                <w:b/>
                <w:bCs/>
              </w:rPr>
            </w:pPr>
          </w:p>
          <w:p w:rsidR="009E10ED" w:rsidRDefault="00685149" w14:paraId="6C579306" w14:textId="77777777">
            <w:pPr>
              <w:jc w:val="both"/>
              <w:rPr>
                <w:rFonts w:ascii="Arial" w:hAnsi="Arial" w:cs="Arial"/>
                <w:b/>
                <w:bCs/>
                <w:u w:val="single"/>
              </w:rPr>
            </w:pPr>
            <w:r>
              <w:rPr>
                <w:rFonts w:ascii="Arial" w:hAnsi="Arial" w:cs="Arial"/>
                <w:b/>
                <w:bCs/>
                <w:u w:val="single"/>
              </w:rPr>
              <w:t>Task and Finish Group</w:t>
            </w:r>
          </w:p>
          <w:p w:rsidR="009E10ED" w:rsidRDefault="009E10ED" w14:paraId="76B03075" w14:textId="77777777">
            <w:pPr>
              <w:jc w:val="both"/>
              <w:rPr>
                <w:rFonts w:ascii="Arial" w:hAnsi="Arial" w:cs="Arial"/>
                <w:b/>
                <w:bCs/>
                <w:u w:val="single"/>
              </w:rPr>
            </w:pPr>
          </w:p>
          <w:p w:rsidR="009E10ED" w:rsidRDefault="00685149" w14:paraId="603FEC44" w14:textId="77777777">
            <w:pPr>
              <w:jc w:val="both"/>
              <w:rPr>
                <w:rFonts w:ascii="Arial" w:hAnsi="Arial" w:cs="Arial"/>
              </w:rPr>
            </w:pPr>
            <w:r>
              <w:rPr>
                <w:rFonts w:ascii="Arial" w:hAnsi="Arial" w:cs="Arial"/>
              </w:rPr>
              <w:t>It was identified from the IIG meeting that different business areas had differing working practices/expectations.  The T and F Group was set up to ensure a consistent high standard across investigations.  The resul</w:t>
            </w:r>
            <w:r>
              <w:rPr>
                <w:rFonts w:ascii="Arial" w:hAnsi="Arial" w:cs="Arial"/>
              </w:rPr>
              <w:t>ts from this group informed the below document.</w:t>
            </w:r>
          </w:p>
          <w:p w:rsidR="009E10ED" w:rsidRDefault="009E10ED" w14:paraId="0F57DEF9" w14:textId="77777777">
            <w:pPr>
              <w:jc w:val="both"/>
              <w:rPr>
                <w:rFonts w:ascii="Arial" w:hAnsi="Arial" w:cs="Arial"/>
                <w:b/>
                <w:bCs/>
              </w:rPr>
            </w:pPr>
          </w:p>
          <w:p w:rsidR="009E10ED" w:rsidRDefault="00685149" w14:paraId="3911AA02" w14:textId="77777777">
            <w:pPr>
              <w:jc w:val="both"/>
              <w:rPr>
                <w:rFonts w:ascii="Arial" w:hAnsi="Arial" w:cs="Arial"/>
                <w:b/>
                <w:bCs/>
                <w:u w:val="single"/>
              </w:rPr>
            </w:pPr>
            <w:r>
              <w:rPr>
                <w:rFonts w:ascii="Arial" w:hAnsi="Arial" w:cs="Arial"/>
                <w:b/>
                <w:bCs/>
                <w:u w:val="single"/>
              </w:rPr>
              <w:t>Investigation Procedure</w:t>
            </w:r>
          </w:p>
          <w:p w:rsidR="009E10ED" w:rsidRDefault="009E10ED" w14:paraId="75B3E75D" w14:textId="77777777">
            <w:pPr>
              <w:jc w:val="both"/>
              <w:rPr>
                <w:rFonts w:ascii="Arial" w:hAnsi="Arial" w:cs="Arial"/>
                <w:b/>
                <w:bCs/>
                <w:u w:val="single"/>
              </w:rPr>
            </w:pPr>
          </w:p>
          <w:p w:rsidR="009E10ED" w:rsidRDefault="00685149" w14:paraId="11BFD66C" w14:textId="77777777">
            <w:pPr>
              <w:jc w:val="both"/>
              <w:rPr>
                <w:rFonts w:ascii="Arial" w:hAnsi="Arial" w:cs="Arial"/>
              </w:rPr>
            </w:pPr>
            <w:r>
              <w:rPr>
                <w:rFonts w:ascii="Arial" w:hAnsi="Arial" w:cs="Arial"/>
              </w:rPr>
              <w:t>The force has recently updated the Investigation Procedure to address issues identified following the Crest report.  The document covers key areas such as the level of investigation/</w:t>
            </w:r>
            <w:r>
              <w:rPr>
                <w:rFonts w:ascii="Arial" w:hAnsi="Arial" w:cs="Arial"/>
              </w:rPr>
              <w:t>allocation of staff/expectations on Officers in Charge (OIC) and supervisors/training etc.</w:t>
            </w:r>
          </w:p>
          <w:p w:rsidR="009E10ED" w:rsidRDefault="009E10ED" w14:paraId="079195A0" w14:textId="77777777">
            <w:pPr>
              <w:jc w:val="both"/>
              <w:rPr>
                <w:rFonts w:ascii="Arial" w:hAnsi="Arial" w:cs="Arial"/>
                <w:b/>
                <w:bCs/>
              </w:rPr>
            </w:pPr>
            <w:bookmarkStart w:name="OLE_LINK1" w:id="0"/>
            <w:bookmarkStart w:name="OLE_LINK2" w:id="1"/>
          </w:p>
          <w:bookmarkEnd w:id="0"/>
          <w:bookmarkEnd w:id="1"/>
          <w:p w:rsidR="009E10ED" w:rsidRDefault="009E10ED" w14:paraId="7725CAED" w14:textId="77777777">
            <w:pPr>
              <w:jc w:val="both"/>
              <w:rPr>
                <w:rFonts w:ascii="Arial" w:hAnsi="Arial" w:cs="Arial"/>
                <w:b/>
                <w:bCs/>
                <w:u w:val="single"/>
              </w:rPr>
            </w:pPr>
          </w:p>
          <w:p w:rsidR="009E10ED" w:rsidRDefault="009E10ED" w14:paraId="7FE6E1F3" w14:textId="77777777">
            <w:pPr>
              <w:jc w:val="both"/>
              <w:rPr>
                <w:rFonts w:ascii="Arial" w:hAnsi="Arial" w:cs="Arial"/>
                <w:b/>
                <w:bCs/>
                <w:u w:val="single"/>
              </w:rPr>
            </w:pPr>
          </w:p>
          <w:p w:rsidR="009E10ED" w:rsidRDefault="009E10ED" w14:paraId="57773138" w14:textId="77777777">
            <w:pPr>
              <w:jc w:val="both"/>
              <w:rPr>
                <w:rFonts w:ascii="Arial" w:hAnsi="Arial" w:cs="Arial"/>
                <w:b/>
                <w:bCs/>
                <w:u w:val="single"/>
              </w:rPr>
            </w:pPr>
          </w:p>
          <w:p w:rsidR="009E10ED" w:rsidRDefault="00685149" w14:paraId="12A81A9F" w14:textId="77777777">
            <w:pPr>
              <w:jc w:val="both"/>
              <w:rPr>
                <w:rFonts w:ascii="Arial" w:hAnsi="Arial" w:cs="Arial"/>
                <w:b/>
                <w:bCs/>
                <w:u w:val="single"/>
              </w:rPr>
            </w:pPr>
            <w:r>
              <w:rPr>
                <w:rFonts w:ascii="Arial" w:hAnsi="Arial" w:cs="Arial"/>
                <w:b/>
                <w:bCs/>
                <w:u w:val="single"/>
              </w:rPr>
              <w:lastRenderedPageBreak/>
              <w:t>Supervisory responsibilities</w:t>
            </w:r>
          </w:p>
          <w:p w:rsidR="009E10ED" w:rsidRDefault="009E10ED" w14:paraId="5612011B" w14:textId="77777777">
            <w:pPr>
              <w:jc w:val="both"/>
              <w:rPr>
                <w:rFonts w:ascii="Arial" w:hAnsi="Arial" w:cs="Arial"/>
                <w:b/>
                <w:bCs/>
              </w:rPr>
            </w:pPr>
          </w:p>
          <w:p w:rsidR="009E10ED" w:rsidRDefault="00685149" w14:paraId="0BC13D42" w14:textId="77777777">
            <w:pPr>
              <w:jc w:val="both"/>
              <w:rPr>
                <w:rFonts w:ascii="Arial" w:hAnsi="Arial" w:cs="Arial"/>
              </w:rPr>
            </w:pPr>
            <w:r>
              <w:rPr>
                <w:rFonts w:ascii="Arial" w:hAnsi="Arial" w:cs="Arial"/>
              </w:rPr>
              <w:t>The Investigation Procedure provides supervisors with clear expectations across both PIP1 and PIP2 investigations.  This document h</w:t>
            </w:r>
            <w:r>
              <w:rPr>
                <w:rFonts w:ascii="Arial" w:hAnsi="Arial" w:cs="Arial"/>
              </w:rPr>
              <w:t>as been approved by Chief Detective Superintendent Hooks (Head of Crime) and has been circulated across all areas of investigation.  The procedure is available on the intranet. </w:t>
            </w:r>
          </w:p>
          <w:p w:rsidR="009E10ED" w:rsidRDefault="009E10ED" w14:paraId="0F57B54B" w14:textId="77777777">
            <w:pPr>
              <w:jc w:val="both"/>
              <w:rPr>
                <w:rFonts w:ascii="Arial" w:hAnsi="Arial" w:cs="Arial"/>
                <w:b/>
                <w:bCs/>
              </w:rPr>
            </w:pPr>
          </w:p>
          <w:p w:rsidR="009E10ED" w:rsidRDefault="00685149" w14:paraId="32D2A715" w14:textId="77777777">
            <w:pPr>
              <w:jc w:val="both"/>
              <w:rPr>
                <w:rFonts w:ascii="Arial" w:hAnsi="Arial" w:cs="Arial"/>
                <w:b/>
                <w:bCs/>
                <w:u w:val="single"/>
              </w:rPr>
            </w:pPr>
            <w:r>
              <w:rPr>
                <w:rFonts w:ascii="Arial" w:hAnsi="Arial" w:cs="Arial"/>
                <w:b/>
                <w:bCs/>
                <w:u w:val="single"/>
              </w:rPr>
              <w:t>Approach to OOCD</w:t>
            </w:r>
          </w:p>
          <w:p w:rsidR="009E10ED" w:rsidRDefault="009E10ED" w14:paraId="5660AA3E" w14:textId="77777777">
            <w:pPr>
              <w:jc w:val="both"/>
              <w:rPr>
                <w:rFonts w:ascii="Arial" w:hAnsi="Arial" w:cs="Arial"/>
                <w:b/>
                <w:bCs/>
              </w:rPr>
            </w:pPr>
          </w:p>
          <w:p w:rsidR="009E10ED" w:rsidRDefault="00685149" w14:paraId="556FEFA7" w14:textId="77777777">
            <w:pPr>
              <w:jc w:val="both"/>
              <w:rPr>
                <w:rFonts w:ascii="Arial" w:hAnsi="Arial" w:cs="Arial"/>
              </w:rPr>
            </w:pPr>
            <w:r>
              <w:rPr>
                <w:rFonts w:ascii="Arial" w:hAnsi="Arial" w:cs="Arial"/>
              </w:rPr>
              <w:t>The pandemic presented the force with an opportunity to exa</w:t>
            </w:r>
            <w:r>
              <w:rPr>
                <w:rFonts w:ascii="Arial" w:hAnsi="Arial" w:cs="Arial"/>
              </w:rPr>
              <w:t xml:space="preserve">mine its approach to OOCD – and the learning has resulted in a more appropriate and proportionate approach to outcomes. This has provided a solid platform for our transition to the new statutory “two tier” approach to OOCD, which the force is implementing </w:t>
            </w:r>
            <w:r>
              <w:rPr>
                <w:rFonts w:ascii="Arial" w:hAnsi="Arial" w:cs="Arial"/>
              </w:rPr>
              <w:t>via a new OOCD Board, with a timeline set for end of March 2023.</w:t>
            </w:r>
          </w:p>
          <w:p w:rsidR="009E10ED" w:rsidRDefault="009E10ED" w14:paraId="4249BF6C" w14:textId="77777777">
            <w:pPr>
              <w:rPr>
                <w:rFonts w:ascii="Arial" w:hAnsi="Arial" w:cs="Arial"/>
              </w:rPr>
            </w:pPr>
          </w:p>
          <w:p w:rsidR="009E10ED" w:rsidRDefault="009E10ED" w14:paraId="22415F56" w14:textId="77777777">
            <w:pPr>
              <w:rPr>
                <w:rFonts w:ascii="Arial" w:hAnsi="Arial" w:cs="Arial"/>
              </w:rPr>
            </w:pPr>
          </w:p>
          <w:p w:rsidR="009E10ED" w:rsidRDefault="009E10ED" w14:paraId="40F33C8F" w14:textId="77777777">
            <w:pPr>
              <w:jc w:val="both"/>
              <w:rPr>
                <w:rFonts w:ascii="Arial" w:hAnsi="Arial" w:cs="Arial"/>
              </w:rPr>
            </w:pPr>
          </w:p>
        </w:tc>
      </w:tr>
    </w:tbl>
    <w:p w:rsidR="009E10ED" w:rsidRDefault="009E10ED" w14:paraId="64DEED80" w14:textId="77777777">
      <w:pPr>
        <w:rPr>
          <w:rFonts w:ascii="Arial" w:hAnsi="Arial" w:cs="Arial"/>
          <w:color w:val="101010"/>
          <w:sz w:val="18"/>
          <w:szCs w:val="18"/>
          <w:shd w:val="clear" w:color="auto" w:fill="EBF2F9"/>
        </w:rPr>
      </w:pPr>
    </w:p>
    <w:p w:rsidR="009E10ED" w:rsidRDefault="009E10ED" w14:paraId="574A2A7B" w14:textId="77777777"/>
    <w:sectPr w:rsidR="009E10ED">
      <w:headerReference w:type="default" r:id="rId11"/>
      <w:footerReference w:type="default" r:id="rId12"/>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05E4" w14:textId="77777777" w:rsidR="00000000" w:rsidRDefault="00685149">
      <w:r>
        <w:separator/>
      </w:r>
    </w:p>
  </w:endnote>
  <w:endnote w:type="continuationSeparator" w:id="0">
    <w:p w14:paraId="561AF1D5" w14:textId="77777777" w:rsidR="00000000" w:rsidRDefault="006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9ED8" w14:textId="77777777" w:rsidR="00765445" w:rsidRDefault="00685149">
    <w:pPr>
      <w:pStyle w:val="Footer"/>
      <w:jc w:val="center"/>
    </w:pPr>
    <w:r>
      <w:fldChar w:fldCharType="begin"/>
    </w:r>
    <w:r>
      <w:instrText xml:space="preserve"> PAGE </w:instrText>
    </w:r>
    <w:r>
      <w:fldChar w:fldCharType="separate"/>
    </w:r>
    <w:r>
      <w:t>2</w:t>
    </w:r>
    <w:r>
      <w:fldChar w:fldCharType="end"/>
    </w:r>
  </w:p>
  <w:p w14:paraId="160790D3" w14:textId="77777777" w:rsidR="00765445" w:rsidRDefault="0068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B628" w14:textId="77777777" w:rsidR="00000000" w:rsidRDefault="00685149">
      <w:r>
        <w:rPr>
          <w:color w:val="000000"/>
        </w:rPr>
        <w:separator/>
      </w:r>
    </w:p>
  </w:footnote>
  <w:footnote w:type="continuationSeparator" w:id="0">
    <w:p w14:paraId="15AAEAA2" w14:textId="77777777" w:rsidR="00000000" w:rsidRDefault="0068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CF46" w14:textId="77777777" w:rsidR="00765445" w:rsidRDefault="00685149">
    <w:pPr>
      <w:pStyle w:val="Header"/>
    </w:pPr>
    <w:r>
      <w:rPr>
        <w:rFonts w:ascii="Arial" w:hAnsi="Arial" w:cs="Arial"/>
      </w:rPr>
      <w:t>24</w:t>
    </w:r>
    <w:r>
      <w:rPr>
        <w:rFonts w:ascii="Arial" w:hAnsi="Arial" w:cs="Arial"/>
        <w:vertAlign w:val="superscript"/>
      </w:rPr>
      <w:t>th</w:t>
    </w:r>
    <w:r>
      <w:rPr>
        <w:rFonts w:ascii="Arial" w:hAnsi="Arial" w:cs="Arial"/>
      </w:rPr>
      <w:t xml:space="preserve"> 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5C17"/>
    <w:multiLevelType w:val="multilevel"/>
    <w:tmpl w:val="70561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E10ED"/>
    <w:rsid w:val="00685149"/>
    <w:rsid w:val="009E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E7C6"/>
  <w15:docId w15:val="{748D269D-395E-4FE1-A4B6-D5C09AB4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color w:val="002060"/>
        <w:sz w:val="24"/>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libri" w:hAnsi="Calibri" w:cs="Calibri"/>
      <w:color w:val="auto"/>
      <w:sz w:val="22"/>
    </w:rPr>
  </w:style>
  <w:style w:type="paragraph" w:styleId="Heading1">
    <w:name w:val="heading 1"/>
    <w:basedOn w:val="Normal"/>
    <w:next w:val="Normal"/>
    <w:uiPriority w:val="9"/>
    <w:qFormat/>
    <w:pPr>
      <w:keepNext/>
      <w:keepLines/>
      <w:spacing w:before="120" w:after="120"/>
      <w:jc w:val="both"/>
      <w:outlineLvl w:val="0"/>
    </w:pPr>
    <w:rPr>
      <w:rFonts w:ascii="Arial" w:eastAsia="Times New Roman" w:hAnsi="Arial" w:cs="Arial"/>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color w:val="auto"/>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color w:val="auto"/>
      <w:sz w:val="20"/>
      <w:szCs w:val="20"/>
    </w:rPr>
  </w:style>
  <w:style w:type="paragraph" w:styleId="ListParagraph">
    <w:name w:val="List Paragraph"/>
    <w:basedOn w:val="Normal"/>
    <w:pPr>
      <w:suppressAutoHyphens w:val="0"/>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color w:val="auto"/>
      <w:sz w:val="22"/>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color w:val="auto"/>
      <w:sz w:val="22"/>
    </w:rPr>
  </w:style>
  <w:style w:type="character" w:customStyle="1" w:styleId="ListParagraphChar">
    <w:name w:val="List Paragraph Char"/>
    <w:rPr>
      <w:rFonts w:ascii="Calibri" w:hAnsi="Calibri" w:cs="Calibri"/>
      <w:color w:val="auto"/>
      <w:sz w:val="22"/>
    </w:rPr>
  </w:style>
  <w:style w:type="paragraph" w:customStyle="1" w:styleId="ReportBody">
    <w:name w:val="Report Body"/>
    <w:basedOn w:val="Normal"/>
    <w:pPr>
      <w:spacing w:before="120" w:after="60"/>
      <w:jc w:val="both"/>
    </w:pPr>
    <w:rPr>
      <w:rFonts w:ascii="Arial" w:hAnsi="Arial" w:cs="Arial"/>
    </w:rPr>
  </w:style>
  <w:style w:type="character" w:customStyle="1" w:styleId="Heading1Char">
    <w:name w:val="Heading 1 Char"/>
    <w:basedOn w:val="DefaultParagraphFont"/>
    <w:rPr>
      <w:rFonts w:eastAsia="Times New Roman" w:cs="Arial"/>
      <w:b/>
      <w:bCs/>
      <w:color w:val="2F549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6954</Characters>
  <Application>Microsoft Office Word</Application>
  <DocSecurity>4</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C1 Improving Outcomes for victims of crime and ASB</dc:title>
  <dc:subject>
  </dc:subject>
  <dc:creator>Chantelle Dawson</dc:creator>
  <dc:description>
  </dc:description>
  <cp:lastModifiedBy>Ryan Hodson</cp:lastModifiedBy>
  <cp:revision>2</cp:revision>
  <dcterms:created xsi:type="dcterms:W3CDTF">2022-09-05T07:10:00Z</dcterms:created>
  <dcterms:modified xsi:type="dcterms:W3CDTF">2022-09-05T07:12:19Z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2022-02-25T11:28:14Z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81fa741d-7e53-4a81-933f-28feff5c7924</vt:lpwstr>
  </property>
  <property fmtid="{D5CDD505-2E9C-101B-9397-08002B2CF9AE}" pid="8" name="MSIP_Label_0c9a534a-49dd-43c4-b4e5-f206b4dbf0e4_ContentBits">
    <vt:lpwstr>0</vt:lpwstr>
  </property>
</Properties>
</file>